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6B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МИОНИЦА 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буџет и финансије</w:t>
      </w:r>
    </w:p>
    <w:p w:rsidR="00916068" w:rsidRPr="00745891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B12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400-</w:t>
      </w:r>
      <w:r w:rsidR="009A0102">
        <w:rPr>
          <w:rFonts w:ascii="Times New Roman" w:hAnsi="Times New Roman" w:cs="Times New Roman"/>
          <w:b/>
          <w:sz w:val="24"/>
          <w:szCs w:val="24"/>
        </w:rPr>
        <w:t>3</w:t>
      </w:r>
      <w:r w:rsidR="00745891">
        <w:rPr>
          <w:rFonts w:ascii="Times New Roman" w:hAnsi="Times New Roman" w:cs="Times New Roman"/>
          <w:b/>
          <w:sz w:val="24"/>
          <w:szCs w:val="24"/>
        </w:rPr>
        <w:t>3</w:t>
      </w:r>
      <w:r w:rsidR="0022085B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22085B">
        <w:rPr>
          <w:rFonts w:ascii="Times New Roman" w:hAnsi="Times New Roman" w:cs="Times New Roman"/>
          <w:b/>
          <w:sz w:val="24"/>
          <w:szCs w:val="24"/>
        </w:rPr>
        <w:t>2</w:t>
      </w:r>
      <w:r w:rsidR="00745891">
        <w:rPr>
          <w:rFonts w:ascii="Times New Roman" w:hAnsi="Times New Roman" w:cs="Times New Roman"/>
          <w:b/>
          <w:sz w:val="24"/>
          <w:szCs w:val="24"/>
        </w:rPr>
        <w:t>2</w:t>
      </w:r>
    </w:p>
    <w:p w:rsidR="00916068" w:rsidRPr="0048321A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220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91">
        <w:rPr>
          <w:rFonts w:ascii="Times New Roman" w:hAnsi="Times New Roman" w:cs="Times New Roman"/>
          <w:b/>
          <w:sz w:val="24"/>
          <w:szCs w:val="24"/>
        </w:rPr>
        <w:t>29</w:t>
      </w:r>
      <w:r w:rsidR="0022085B">
        <w:rPr>
          <w:rFonts w:ascii="Times New Roman" w:hAnsi="Times New Roman" w:cs="Times New Roman"/>
          <w:b/>
          <w:sz w:val="24"/>
          <w:szCs w:val="24"/>
        </w:rPr>
        <w:t>.</w:t>
      </w:r>
      <w:r w:rsidR="00114CEC">
        <w:rPr>
          <w:rFonts w:ascii="Times New Roman" w:hAnsi="Times New Roman" w:cs="Times New Roman"/>
          <w:b/>
          <w:sz w:val="24"/>
          <w:szCs w:val="24"/>
        </w:rPr>
        <w:t>0</w:t>
      </w:r>
      <w:r w:rsidR="009A0102">
        <w:rPr>
          <w:rFonts w:ascii="Times New Roman" w:hAnsi="Times New Roman" w:cs="Times New Roman"/>
          <w:b/>
          <w:sz w:val="24"/>
          <w:szCs w:val="24"/>
        </w:rPr>
        <w:t>7</w:t>
      </w:r>
      <w:r w:rsidR="0022085B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22085B">
        <w:rPr>
          <w:rFonts w:ascii="Times New Roman" w:hAnsi="Times New Roman" w:cs="Times New Roman"/>
          <w:b/>
          <w:sz w:val="24"/>
          <w:szCs w:val="24"/>
        </w:rPr>
        <w:t>2</w:t>
      </w:r>
      <w:r w:rsidR="00745891">
        <w:rPr>
          <w:rFonts w:ascii="Times New Roman" w:hAnsi="Times New Roman" w:cs="Times New Roman"/>
          <w:b/>
          <w:sz w:val="24"/>
          <w:szCs w:val="24"/>
        </w:rPr>
        <w:t>2</w:t>
      </w:r>
      <w:r w:rsidR="00916068"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.година </w:t>
      </w:r>
    </w:p>
    <w:p w:rsidR="00916068" w:rsidRPr="00916068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D87" w:rsidRPr="00426298" w:rsidRDefault="00B31CF9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A68">
        <w:rPr>
          <w:rFonts w:ascii="Times New Roman" w:hAnsi="Times New Roman" w:cs="Times New Roman"/>
          <w:sz w:val="24"/>
          <w:szCs w:val="24"/>
        </w:rPr>
        <w:t xml:space="preserve">На основу члана 40. Закона о буџетском систему („Сл.гласник </w:t>
      </w:r>
      <w:proofErr w:type="gramStart"/>
      <w:r w:rsidRPr="003B0A68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3B0A68">
        <w:rPr>
          <w:rFonts w:ascii="Times New Roman" w:hAnsi="Times New Roman" w:cs="Times New Roman"/>
          <w:sz w:val="24"/>
          <w:szCs w:val="24"/>
        </w:rPr>
        <w:t>, бр. 54/09, 73/10, 101/10, 101/11, 62/13, 63/13, 108/13, 142/2014, 103/15, 99/2016, 113/2017, 95/2018, 31/2019, 72/2019, 149/</w:t>
      </w:r>
      <w:proofErr w:type="gramStart"/>
      <w:r w:rsidRPr="003B0A68">
        <w:rPr>
          <w:rFonts w:ascii="Times New Roman" w:hAnsi="Times New Roman" w:cs="Times New Roman"/>
          <w:sz w:val="24"/>
          <w:szCs w:val="24"/>
        </w:rPr>
        <w:t>2020,  118</w:t>
      </w:r>
      <w:proofErr w:type="gramEnd"/>
      <w:r w:rsidRPr="003B0A68">
        <w:rPr>
          <w:rFonts w:ascii="Times New Roman" w:hAnsi="Times New Roman" w:cs="Times New Roman"/>
          <w:sz w:val="24"/>
          <w:szCs w:val="24"/>
        </w:rPr>
        <w:t>/2021-др.закон)</w:t>
      </w:r>
      <w:r w:rsidR="0022085B">
        <w:rPr>
          <w:rFonts w:ascii="Times New Roman" w:hAnsi="Times New Roman" w:cs="Times New Roman"/>
          <w:sz w:val="24"/>
          <w:szCs w:val="24"/>
        </w:rPr>
        <w:t xml:space="preserve"> </w:t>
      </w:r>
      <w:r w:rsidR="003B0A68">
        <w:rPr>
          <w:rFonts w:ascii="Times New Roman" w:hAnsi="Times New Roman" w:cs="Times New Roman"/>
          <w:sz w:val="24"/>
          <w:szCs w:val="24"/>
        </w:rPr>
        <w:t xml:space="preserve"> </w:t>
      </w:r>
      <w:r w:rsidR="003B0A6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2085B">
        <w:rPr>
          <w:rFonts w:ascii="Times New Roman" w:hAnsi="Times New Roman" w:cs="Times New Roman"/>
          <w:sz w:val="24"/>
          <w:szCs w:val="24"/>
        </w:rPr>
        <w:t>Упутств</w:t>
      </w:r>
      <w:r w:rsidR="003B0A6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26298">
        <w:rPr>
          <w:rFonts w:ascii="Times New Roman" w:hAnsi="Times New Roman" w:cs="Times New Roman"/>
          <w:sz w:val="24"/>
          <w:szCs w:val="24"/>
        </w:rPr>
        <w:t xml:space="preserve"> Министарства финансија</w:t>
      </w:r>
      <w:r w:rsidR="0022085B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за припрему Одлуке о буџету локалне власти за 202</w:t>
      </w:r>
      <w:r w:rsidR="007458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26298">
        <w:rPr>
          <w:rFonts w:ascii="Times New Roman" w:hAnsi="Times New Roman" w:cs="Times New Roman"/>
          <w:sz w:val="24"/>
          <w:szCs w:val="24"/>
        </w:rPr>
        <w:t>.</w:t>
      </w:r>
      <w:r w:rsidR="005515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годину са пројекцијама за 202</w:t>
      </w:r>
      <w:r w:rsidR="0074589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26298">
        <w:rPr>
          <w:rFonts w:ascii="Times New Roman" w:hAnsi="Times New Roman" w:cs="Times New Roman"/>
          <w:sz w:val="24"/>
          <w:szCs w:val="24"/>
        </w:rPr>
        <w:t>. и 202</w:t>
      </w:r>
      <w:r w:rsidR="007458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515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6298">
        <w:rPr>
          <w:rFonts w:ascii="Times New Roman" w:hAnsi="Times New Roman" w:cs="Times New Roman"/>
          <w:sz w:val="24"/>
          <w:szCs w:val="24"/>
        </w:rPr>
        <w:t xml:space="preserve">годину, </w:t>
      </w:r>
      <w:r w:rsidR="00B07D87" w:rsidRPr="00B07D87">
        <w:rPr>
          <w:rFonts w:ascii="Times New Roman" w:hAnsi="Times New Roman" w:cs="Times New Roman"/>
          <w:sz w:val="24"/>
          <w:szCs w:val="24"/>
        </w:rPr>
        <w:t>Општинска</w:t>
      </w:r>
      <w:r w:rsidR="00916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068">
        <w:rPr>
          <w:rFonts w:ascii="Times New Roman" w:hAnsi="Times New Roman" w:cs="Times New Roman"/>
          <w:sz w:val="24"/>
          <w:szCs w:val="24"/>
        </w:rPr>
        <w:t xml:space="preserve">управа 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proofErr w:type="gramEnd"/>
      <w:r w:rsidR="008C02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Мионица-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Одељење за буџет и финансије,</w:t>
      </w:r>
      <w:r w:rsidR="0022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02FD">
        <w:rPr>
          <w:rFonts w:ascii="Times New Roman" w:hAnsi="Times New Roman" w:cs="Times New Roman"/>
          <w:sz w:val="24"/>
          <w:szCs w:val="24"/>
        </w:rPr>
        <w:t>до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>носи</w:t>
      </w:r>
    </w:p>
    <w:p w:rsidR="00B07D87" w:rsidRPr="00B07D87" w:rsidRDefault="00B07D87" w:rsidP="00953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07D87" w:rsidRPr="00916068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916068">
        <w:rPr>
          <w:rFonts w:ascii="Times New Roman" w:hAnsi="Times New Roman" w:cs="Times New Roman"/>
          <w:b/>
          <w:bCs/>
          <w:color w:val="000000"/>
          <w:sz w:val="52"/>
          <w:szCs w:val="52"/>
        </w:rPr>
        <w:t>УПУТСТВО</w:t>
      </w:r>
    </w:p>
    <w:p w:rsidR="00B759C2" w:rsidRPr="00D257A0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</w:pPr>
      <w:proofErr w:type="gramStart"/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ПРИПРЕМУ</w:t>
      </w:r>
      <w:proofErr w:type="gramEnd"/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ОДЛУКЕ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БУЏЕТА ОПШТИНЕ</w:t>
      </w:r>
      <w:r w:rsidR="00A378E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>МИОНИЦА</w:t>
      </w:r>
      <w:r w:rsidR="0042629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ЗА 202</w:t>
      </w:r>
      <w:r w:rsidR="00745891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3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D257A0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 xml:space="preserve"> ГОДИНУ</w:t>
      </w:r>
    </w:p>
    <w:p w:rsidR="002972FF" w:rsidRDefault="002972FF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Pr="00B759C2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74" w:rsidRDefault="00965274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87" w:rsidRPr="00383559" w:rsidRDefault="00B07D87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559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УВОД</w:t>
      </w:r>
    </w:p>
    <w:p w:rsidR="00F05CCC" w:rsidRPr="00F05CCC" w:rsidRDefault="00F05CCC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F1" w:rsidRPr="001A45B1" w:rsidRDefault="00CF24DA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05CCC" w:rsidRPr="00F05CCC">
        <w:rPr>
          <w:rFonts w:ascii="Times New Roman" w:hAnsi="Times New Roman" w:cs="Times New Roman"/>
          <w:sz w:val="24"/>
          <w:szCs w:val="24"/>
          <w:lang w:val="sr-Cyrl-CS"/>
        </w:rPr>
        <w:t>Упутство</w:t>
      </w:r>
      <w:r w:rsidR="001A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садржи основне економске претпоставке,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смернице ,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оквире и рокове 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основу којих су буџетски корисници у обавези да израде Предлог финансијс</w:t>
      </w:r>
      <w:r w:rsidR="00426298">
        <w:rPr>
          <w:rFonts w:ascii="Times New Roman" w:hAnsi="Times New Roman" w:cs="Times New Roman"/>
          <w:sz w:val="24"/>
          <w:szCs w:val="24"/>
          <w:lang w:val="sr-Cyrl-CS"/>
        </w:rPr>
        <w:t xml:space="preserve">ког плана за </w:t>
      </w:r>
      <w:r w:rsidR="00B538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8C127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A45B1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1A45B1">
        <w:rPr>
          <w:rFonts w:ascii="Times New Roman" w:hAnsi="Times New Roman" w:cs="Times New Roman"/>
          <w:sz w:val="24"/>
          <w:szCs w:val="24"/>
        </w:rPr>
        <w:t>.</w:t>
      </w:r>
    </w:p>
    <w:p w:rsidR="00F05CCC" w:rsidRPr="007E1A25" w:rsidRDefault="00CF24DA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припреме </w:t>
      </w:r>
      <w:r w:rsidR="00BB3614">
        <w:rPr>
          <w:rFonts w:ascii="Times New Roman" w:hAnsi="Times New Roman" w:cs="Times New Roman"/>
          <w:sz w:val="24"/>
          <w:szCs w:val="24"/>
          <w:lang w:val="sr-Cyrl-CS"/>
        </w:rPr>
        <w:t>и доношења буџета локалне власт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и уређен је Законом о буџетском систему </w:t>
      </w:r>
      <w:r w:rsidR="00F05CCC" w:rsidRPr="00B07D87">
        <w:rPr>
          <w:rFonts w:ascii="Times New Roman" w:hAnsi="Times New Roman" w:cs="Times New Roman"/>
          <w:sz w:val="24"/>
          <w:szCs w:val="24"/>
        </w:rPr>
        <w:t>(''Сл.гласник РС'', бр. 54/09, 73/10, 101/10, 101/</w:t>
      </w:r>
      <w:r w:rsidR="00426298">
        <w:rPr>
          <w:rFonts w:ascii="Times New Roman" w:hAnsi="Times New Roman" w:cs="Times New Roman"/>
          <w:sz w:val="24"/>
          <w:szCs w:val="24"/>
        </w:rPr>
        <w:t>11,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93/12, 62/13, 63/13, 108/13, 142/</w:t>
      </w:r>
      <w:r w:rsidR="00F05CCC" w:rsidRPr="00B07D87">
        <w:rPr>
          <w:rFonts w:ascii="Times New Roman" w:hAnsi="Times New Roman" w:cs="Times New Roman"/>
          <w:sz w:val="24"/>
          <w:szCs w:val="24"/>
        </w:rPr>
        <w:t>14</w:t>
      </w:r>
      <w:r w:rsidR="00426298">
        <w:rPr>
          <w:rFonts w:ascii="Times New Roman" w:hAnsi="Times New Roman" w:cs="Times New Roman"/>
          <w:sz w:val="24"/>
          <w:szCs w:val="24"/>
        </w:rPr>
        <w:t>,</w:t>
      </w:r>
      <w:r w:rsidR="007E1A25">
        <w:rPr>
          <w:rFonts w:ascii="Times New Roman" w:hAnsi="Times New Roman" w:cs="Times New Roman"/>
          <w:sz w:val="24"/>
          <w:szCs w:val="24"/>
        </w:rPr>
        <w:t>68/15,</w:t>
      </w:r>
      <w:r w:rsidR="00426298">
        <w:rPr>
          <w:rFonts w:ascii="Times New Roman" w:hAnsi="Times New Roman" w:cs="Times New Roman"/>
          <w:sz w:val="24"/>
          <w:szCs w:val="24"/>
        </w:rPr>
        <w:t>103/15, 99/</w:t>
      </w:r>
      <w:r w:rsidR="00F05CCC">
        <w:rPr>
          <w:rFonts w:ascii="Times New Roman" w:hAnsi="Times New Roman" w:cs="Times New Roman"/>
          <w:sz w:val="24"/>
          <w:szCs w:val="24"/>
        </w:rPr>
        <w:t>16</w:t>
      </w:r>
      <w:r w:rsidR="007E1A25">
        <w:rPr>
          <w:rFonts w:ascii="Times New Roman" w:hAnsi="Times New Roman" w:cs="Times New Roman"/>
          <w:sz w:val="24"/>
          <w:szCs w:val="24"/>
        </w:rPr>
        <w:t>,</w:t>
      </w:r>
      <w:r w:rsidR="00F05CCC">
        <w:rPr>
          <w:rFonts w:ascii="Times New Roman" w:hAnsi="Times New Roman" w:cs="Times New Roman"/>
          <w:sz w:val="24"/>
          <w:szCs w:val="24"/>
        </w:rPr>
        <w:t xml:space="preserve"> </w:t>
      </w:r>
      <w:r w:rsidR="00426298">
        <w:rPr>
          <w:rFonts w:ascii="Times New Roman" w:hAnsi="Times New Roman" w:cs="Times New Roman"/>
          <w:sz w:val="24"/>
          <w:szCs w:val="24"/>
        </w:rPr>
        <w:t>95/18, 31/</w:t>
      </w:r>
      <w:proofErr w:type="gramStart"/>
      <w:r w:rsidR="00426298">
        <w:rPr>
          <w:rFonts w:ascii="Times New Roman" w:hAnsi="Times New Roman" w:cs="Times New Roman"/>
          <w:sz w:val="24"/>
          <w:szCs w:val="24"/>
        </w:rPr>
        <w:t>19,  72</w:t>
      </w:r>
      <w:proofErr w:type="gramEnd"/>
      <w:r w:rsidR="00426298">
        <w:rPr>
          <w:rFonts w:ascii="Times New Roman" w:hAnsi="Times New Roman" w:cs="Times New Roman"/>
          <w:sz w:val="24"/>
          <w:szCs w:val="24"/>
        </w:rPr>
        <w:t>/19</w:t>
      </w:r>
      <w:r w:rsidR="008C12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B32">
        <w:rPr>
          <w:rFonts w:ascii="Times New Roman" w:hAnsi="Times New Roman" w:cs="Times New Roman"/>
          <w:sz w:val="24"/>
          <w:szCs w:val="24"/>
          <w:lang w:val="sr-Cyrl-RS"/>
        </w:rPr>
        <w:t xml:space="preserve"> 149/20</w:t>
      </w:r>
      <w:r w:rsidR="008C1273">
        <w:rPr>
          <w:rFonts w:ascii="Times New Roman" w:hAnsi="Times New Roman" w:cs="Times New Roman"/>
          <w:sz w:val="24"/>
          <w:szCs w:val="24"/>
          <w:lang w:val="sr-Cyrl-RS"/>
        </w:rPr>
        <w:t xml:space="preserve"> и 118/21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</w:rPr>
        <w:t>).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13" w:rsidRPr="007E1A25" w:rsidRDefault="007E1A25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813">
        <w:rPr>
          <w:rFonts w:ascii="Times New Roman" w:hAnsi="Times New Roman" w:cs="Times New Roman"/>
          <w:sz w:val="24"/>
          <w:szCs w:val="24"/>
        </w:rPr>
        <w:t>На основу члана 31.</w:t>
      </w:r>
      <w:r w:rsidR="002F7813" w:rsidRPr="007C6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781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2F7813">
        <w:rPr>
          <w:rFonts w:ascii="Times New Roman" w:hAnsi="Times New Roman" w:cs="Times New Roman"/>
          <w:sz w:val="24"/>
          <w:szCs w:val="24"/>
        </w:rPr>
        <w:t>a</w:t>
      </w:r>
      <w:r w:rsidR="002F7813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="002F7813">
        <w:rPr>
          <w:rFonts w:ascii="Times New Roman" w:hAnsi="Times New Roman" w:cs="Times New Roman"/>
          <w:sz w:val="24"/>
          <w:szCs w:val="24"/>
        </w:rPr>
        <w:t>, по буџетском календару, министар финансија доставља Упутство за припрему Одлуке о буџету локалне власти као и Фискалну стратегију до 5.</w:t>
      </w:r>
      <w:r w:rsidR="0019176C">
        <w:rPr>
          <w:rFonts w:ascii="Times New Roman" w:hAnsi="Times New Roman" w:cs="Times New Roman"/>
          <w:sz w:val="24"/>
          <w:szCs w:val="24"/>
        </w:rPr>
        <w:t xml:space="preserve"> </w:t>
      </w:r>
      <w:r w:rsidR="002F7813">
        <w:rPr>
          <w:rFonts w:ascii="Times New Roman" w:hAnsi="Times New Roman" w:cs="Times New Roman"/>
          <w:sz w:val="24"/>
          <w:szCs w:val="24"/>
        </w:rPr>
        <w:t>јула текуће године.</w:t>
      </w:r>
    </w:p>
    <w:p w:rsidR="00D9420B" w:rsidRPr="00B5386F" w:rsidRDefault="0019176C" w:rsidP="00B5386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Чланом 40.</w:t>
      </w:r>
      <w:r w:rsidR="007E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о буџетском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систему  предвиђено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="00D04F7A">
        <w:rPr>
          <w:rFonts w:ascii="Times New Roman" w:hAnsi="Times New Roman" w:cs="Times New Roman"/>
          <w:sz w:val="24"/>
          <w:szCs w:val="24"/>
        </w:rPr>
        <w:t xml:space="preserve"> да по добијању Фискалне стратегије, локални орган управе надлежан за финансије доставља директним и индиректним корисницима буџета У</w:t>
      </w:r>
      <w:r w:rsidR="00D9420B">
        <w:rPr>
          <w:rFonts w:ascii="Times New Roman" w:hAnsi="Times New Roman" w:cs="Times New Roman"/>
          <w:sz w:val="24"/>
          <w:szCs w:val="24"/>
        </w:rPr>
        <w:t>пут</w:t>
      </w:r>
      <w:r w:rsidR="00D04F7A">
        <w:rPr>
          <w:rFonts w:ascii="Times New Roman" w:hAnsi="Times New Roman" w:cs="Times New Roman"/>
          <w:sz w:val="24"/>
          <w:szCs w:val="24"/>
        </w:rPr>
        <w:t xml:space="preserve">ство за припрему буџета. </w:t>
      </w:r>
    </w:p>
    <w:p w:rsidR="00725C7C" w:rsidRDefault="00B5386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C7C">
        <w:rPr>
          <w:rFonts w:ascii="Times New Roman" w:hAnsi="Times New Roman" w:cs="Times New Roman"/>
          <w:sz w:val="24"/>
          <w:szCs w:val="24"/>
        </w:rPr>
        <w:t>Чланом 41. Закона о буџетском систему дефинисано је да су индирек</w:t>
      </w:r>
      <w:r>
        <w:rPr>
          <w:rFonts w:ascii="Times New Roman" w:hAnsi="Times New Roman" w:cs="Times New Roman"/>
          <w:sz w:val="24"/>
          <w:szCs w:val="24"/>
        </w:rPr>
        <w:t xml:space="preserve">тни корисници средстава буџета </w:t>
      </w:r>
      <w:r w:rsidR="00725C7C">
        <w:rPr>
          <w:rFonts w:ascii="Times New Roman" w:hAnsi="Times New Roman" w:cs="Times New Roman"/>
          <w:sz w:val="24"/>
          <w:szCs w:val="24"/>
        </w:rPr>
        <w:t xml:space="preserve">локалне власти обавезни да припреме предлог финансијског плана на основу смерница који се односи на буџет локалне власти. Директни корисници обавезни су да у складу са </w:t>
      </w:r>
      <w:proofErr w:type="gramStart"/>
      <w:r w:rsidR="00725C7C">
        <w:rPr>
          <w:rFonts w:ascii="Times New Roman" w:hAnsi="Times New Roman" w:cs="Times New Roman"/>
          <w:sz w:val="24"/>
          <w:szCs w:val="24"/>
        </w:rPr>
        <w:t xml:space="preserve">смерницама  </w:t>
      </w:r>
      <w:r w:rsidR="0007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7C7C">
        <w:rPr>
          <w:rFonts w:ascii="Times New Roman" w:hAnsi="Times New Roman" w:cs="Times New Roman"/>
          <w:sz w:val="24"/>
          <w:szCs w:val="24"/>
        </w:rPr>
        <w:t xml:space="preserve"> роковима, траже од индиректних корисника за које су одговорни, да доставе податке неопходне за израду предлога финансијског плана директног буџетског корисника. Предвиђено је и да локални орган управе надлежан за финансије може да тражи непосредно од индиректних корисника податке о финансирању који су потребни за припрему предлога Одлуке о буџету локалне власти.</w:t>
      </w:r>
    </w:p>
    <w:p w:rsidR="00B5386F" w:rsidRPr="00B5386F" w:rsidRDefault="00B5386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Уколико Одлука о буџету локалне власти буде супротна смерницама из Упуства које доставља министар у делу којим се локалној власти дају смернице за планирање масе средстава за плате, броја запослених и субвенција, министар може привремено обуставити пренос трансферних средстава из буџета Републике Србије све док се Одлука о буџету не усклади са Упутством.</w:t>
      </w:r>
    </w:p>
    <w:p w:rsidR="002900B1" w:rsidRDefault="002900B1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C7C" w:rsidRPr="00147321" w:rsidRDefault="00077C7C" w:rsidP="00077C7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73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Програмска структура </w:t>
      </w:r>
      <w:r w:rsidR="00343DF3" w:rsidRPr="00147321">
        <w:rPr>
          <w:rFonts w:ascii="Times New Roman" w:hAnsi="Times New Roman" w:cs="Times New Roman"/>
          <w:b/>
          <w:sz w:val="24"/>
          <w:szCs w:val="24"/>
          <w:lang w:val="sr-Cyrl-CS"/>
        </w:rPr>
        <w:t>буџета</w:t>
      </w:r>
    </w:p>
    <w:p w:rsidR="00EA0AAE" w:rsidRPr="00147321" w:rsidRDefault="00EA0AAE" w:rsidP="00EA0AA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AAE" w:rsidRPr="00EA0AAE" w:rsidRDefault="005B4388" w:rsidP="0014732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AAE" w:rsidRPr="00EA0AAE">
        <w:rPr>
          <w:rFonts w:ascii="Times New Roman" w:hAnsi="Times New Roman" w:cs="Times New Roman"/>
          <w:sz w:val="24"/>
          <w:szCs w:val="24"/>
          <w:lang w:val="sr-Cyrl-CS"/>
        </w:rPr>
        <w:t>Унапређење буџетског процеса кроз примену програмског буџетирања</w:t>
      </w:r>
    </w:p>
    <w:p w:rsidR="00EA0AAE" w:rsidRPr="00EA0AAE" w:rsidRDefault="00EA0AAE" w:rsidP="0014732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AAE">
        <w:rPr>
          <w:rFonts w:ascii="Times New Roman" w:hAnsi="Times New Roman" w:cs="Times New Roman"/>
          <w:sz w:val="24"/>
          <w:szCs w:val="24"/>
          <w:lang w:val="sr-Cyrl-CS"/>
        </w:rPr>
        <w:t>представља део реформе управљања јавним финансијама којим се ставља нагласак на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утврђивање приоритета и оптимизацију потрошње у циљу подстицања привредног раста и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ефикасног пружања квалитетних услуга јавне управе.</w:t>
      </w:r>
    </w:p>
    <w:p w:rsidR="00077C7C" w:rsidRDefault="00EA0AAE" w:rsidP="005B43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A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Упутство за израду програмског буџета, као и Анекс 5 којим је дефинисана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униформна програмска струкура буџета ЈЛС за израду одлуке о буџету ЈЛС за 202</w:t>
      </w:r>
      <w:r w:rsidR="0014732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. годину и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документ који садржи циљеве програма и програмских активности и листу униформних</w:t>
      </w:r>
      <w:r w:rsidRPr="00EA0AAE">
        <w:rPr>
          <w:rFonts w:ascii="Times New Roman" w:hAnsi="Times New Roman" w:cs="Times New Roman"/>
          <w:sz w:val="24"/>
          <w:szCs w:val="24"/>
        </w:rPr>
        <w:t xml:space="preserve"> </w:t>
      </w:r>
      <w:r w:rsidRPr="00EA0AAE">
        <w:rPr>
          <w:rFonts w:ascii="Times New Roman" w:hAnsi="Times New Roman" w:cs="Times New Roman"/>
          <w:sz w:val="24"/>
          <w:szCs w:val="24"/>
          <w:lang w:val="sr-Cyrl-CS"/>
        </w:rPr>
        <w:t>индикатора могу се наћи на сајту Министарства финансија (</w:t>
      </w:r>
      <w:hyperlink r:id="rId8" w:history="1">
        <w:r w:rsidRPr="0095675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www.mfin.gov.rs</w:t>
        </w:r>
      </w:hyperlink>
      <w:r w:rsidRPr="00EA0AA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41907" w:rsidRDefault="00941907" w:rsidP="005B43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7C7C" w:rsidRPr="00EA0AAE" w:rsidRDefault="00077C7C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Pr="00A55FB4" w:rsidRDefault="00077C7C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C7C" w:rsidRPr="00EA0AAE" w:rsidRDefault="00077C7C" w:rsidP="00EA0A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Default="00077C7C" w:rsidP="00EA0AA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C7C" w:rsidRDefault="00077C7C" w:rsidP="00EA0AA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1907" w:rsidRDefault="00941907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41907" w:rsidRDefault="00941907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C1273" w:rsidRDefault="008C1273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C1273" w:rsidRDefault="008C1273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C1273" w:rsidRDefault="008C1273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C1273" w:rsidRDefault="008C1273" w:rsidP="009419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55FB4" w:rsidRPr="00147321" w:rsidRDefault="00C5776D" w:rsidP="008C127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732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Опште напомене за припрему </w:t>
      </w:r>
      <w:r w:rsidR="005959A2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147321">
        <w:rPr>
          <w:rFonts w:ascii="Times New Roman" w:hAnsi="Times New Roman" w:cs="Times New Roman"/>
          <w:b/>
          <w:sz w:val="24"/>
          <w:szCs w:val="24"/>
          <w:lang w:val="sr-Cyrl-CS"/>
        </w:rPr>
        <w:t>длуке о буџету локалне власти</w:t>
      </w:r>
    </w:p>
    <w:p w:rsidR="00C5776D" w:rsidRPr="00147321" w:rsidRDefault="00C5776D" w:rsidP="00C577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2923" w:rsidRPr="00A218F7" w:rsidRDefault="00A218F7" w:rsidP="00A218F7">
      <w:pPr>
        <w:pStyle w:val="Default"/>
        <w:jc w:val="both"/>
        <w:rPr>
          <w:b/>
        </w:rPr>
      </w:pPr>
      <w:r>
        <w:rPr>
          <w:b/>
          <w:lang w:val="sr-Cyrl-RS"/>
        </w:rPr>
        <w:t xml:space="preserve">         </w:t>
      </w:r>
      <w:r w:rsidR="001A198B" w:rsidRPr="00A218F7">
        <w:rPr>
          <w:b/>
        </w:rPr>
        <w:t>Услед настале ситуације везане за енергетску кризу изазвану ратом у Украјини као и још увек присутну пандемију заразне болести COVID-19, Министарство финансија је</w:t>
      </w:r>
      <w:r>
        <w:rPr>
          <w:b/>
        </w:rPr>
        <w:t xml:space="preserve"> </w:t>
      </w:r>
      <w:r>
        <w:rPr>
          <w:b/>
          <w:lang w:val="sr-Cyrl-RS"/>
        </w:rPr>
        <w:t>дало</w:t>
      </w:r>
      <w:r w:rsidR="001A198B" w:rsidRPr="00A218F7">
        <w:rPr>
          <w:b/>
        </w:rPr>
        <w:t xml:space="preserve"> препоруку јединицама локалне самоуправе да приликом припремања одлука о буџету изврше распоред средстава у односу на обавезе чије измирење је приоритетно</w:t>
      </w:r>
      <w:r>
        <w:rPr>
          <w:b/>
        </w:rPr>
        <w:t>.</w:t>
      </w:r>
      <w:r w:rsidR="00352923">
        <w:rPr>
          <w:sz w:val="23"/>
          <w:szCs w:val="23"/>
        </w:rPr>
        <w:t xml:space="preserve">          </w:t>
      </w:r>
    </w:p>
    <w:p w:rsidR="00454E2D" w:rsidRPr="00383559" w:rsidRDefault="00352923" w:rsidP="00383559">
      <w:pPr>
        <w:pStyle w:val="Default"/>
        <w:jc w:val="both"/>
        <w:rPr>
          <w:iCs/>
        </w:rPr>
      </w:pPr>
      <w:r w:rsidRPr="00383559">
        <w:rPr>
          <w:iCs/>
        </w:rPr>
        <w:t xml:space="preserve">        </w:t>
      </w:r>
      <w:r w:rsidR="00454E2D" w:rsidRPr="00383559">
        <w:rPr>
          <w:iCs/>
        </w:rPr>
        <w:t>У оквиру спровођења реформе јавних финансија започет је процес унапређења</w:t>
      </w:r>
    </w:p>
    <w:p w:rsidR="00454E2D" w:rsidRPr="00383559" w:rsidRDefault="00454E2D" w:rsidP="00383559">
      <w:pPr>
        <w:pStyle w:val="Default"/>
        <w:jc w:val="both"/>
        <w:rPr>
          <w:iCs/>
        </w:rPr>
      </w:pPr>
      <w:r w:rsidRPr="00383559">
        <w:rPr>
          <w:iCs/>
        </w:rPr>
        <w:t>програмског модела буџета кроз увођење принципа родно одговорног буџетирања у</w:t>
      </w:r>
    </w:p>
    <w:p w:rsidR="001F4340" w:rsidRPr="00A218F7" w:rsidRDefault="003A10E9" w:rsidP="001F4340">
      <w:pPr>
        <w:pStyle w:val="Default"/>
        <w:jc w:val="both"/>
        <w:rPr>
          <w:iCs/>
          <w:color w:val="FF0000"/>
          <w:lang w:val="sr-Cyrl-RS"/>
        </w:rPr>
      </w:pPr>
      <w:r>
        <w:rPr>
          <w:iCs/>
        </w:rPr>
        <w:t>буџетски процес.</w:t>
      </w:r>
      <w:r w:rsidR="00941907">
        <w:rPr>
          <w:iCs/>
          <w:lang w:val="sr-Cyrl-RS"/>
        </w:rPr>
        <w:t xml:space="preserve"> До 2024. године </w:t>
      </w:r>
      <w:r w:rsidR="00454E2D" w:rsidRPr="00383559">
        <w:rPr>
          <w:iCs/>
        </w:rPr>
        <w:t>предвиђено је д</w:t>
      </w:r>
      <w:r w:rsidR="00383559" w:rsidRPr="00383559">
        <w:rPr>
          <w:iCs/>
        </w:rPr>
        <w:t xml:space="preserve">а се заокружи процес постепеног </w:t>
      </w:r>
      <w:r w:rsidR="00454E2D" w:rsidRPr="00383559">
        <w:rPr>
          <w:iCs/>
        </w:rPr>
        <w:t>увођења родно одговорног буџетирања</w:t>
      </w:r>
      <w:r w:rsidR="00941907">
        <w:rPr>
          <w:iCs/>
          <w:lang w:val="sr-Cyrl-RS"/>
        </w:rPr>
        <w:t xml:space="preserve"> за све кориснике на свим нивоима власти.</w:t>
      </w:r>
      <w:r w:rsidR="00454E2D" w:rsidRPr="00383559">
        <w:rPr>
          <w:iCs/>
        </w:rPr>
        <w:t xml:space="preserve"> Имајући у виду наведену законску одредбу </w:t>
      </w:r>
      <w:r>
        <w:rPr>
          <w:iCs/>
        </w:rPr>
        <w:t>донет је П</w:t>
      </w:r>
      <w:r w:rsidR="00383559" w:rsidRPr="00383559">
        <w:rPr>
          <w:iCs/>
        </w:rPr>
        <w:t xml:space="preserve">лан поступног увођења </w:t>
      </w:r>
      <w:r w:rsidR="00454E2D" w:rsidRPr="00383559">
        <w:rPr>
          <w:iCs/>
        </w:rPr>
        <w:t>родно одговорног буџетирања, којим су одређени кор</w:t>
      </w:r>
      <w:r w:rsidR="00383559" w:rsidRPr="00383559">
        <w:rPr>
          <w:iCs/>
        </w:rPr>
        <w:t xml:space="preserve">исници буџетских средстава који </w:t>
      </w:r>
      <w:r w:rsidR="00454E2D" w:rsidRPr="00383559">
        <w:rPr>
          <w:iCs/>
        </w:rPr>
        <w:t>ће се дефинисати (на нивоу програма и/или прогр</w:t>
      </w:r>
      <w:r w:rsidR="00383559" w:rsidRPr="00383559">
        <w:rPr>
          <w:iCs/>
        </w:rPr>
        <w:t xml:space="preserve">амске активности) најмање један </w:t>
      </w:r>
      <w:r w:rsidR="00454E2D" w:rsidRPr="00383559">
        <w:rPr>
          <w:iCs/>
        </w:rPr>
        <w:t>родно одговоран циљ и одговарајуће показатеље</w:t>
      </w:r>
      <w:r w:rsidR="00383559" w:rsidRPr="00383559">
        <w:rPr>
          <w:iCs/>
        </w:rPr>
        <w:t xml:space="preserve">/индикаторе који адекватно мере </w:t>
      </w:r>
      <w:r w:rsidR="00454E2D" w:rsidRPr="00383559">
        <w:rPr>
          <w:iCs/>
        </w:rPr>
        <w:t>допринос циља унапређењу равноправости изм</w:t>
      </w:r>
      <w:r w:rsidR="00383559" w:rsidRPr="00383559">
        <w:rPr>
          <w:iCs/>
        </w:rPr>
        <w:t>еђу жена и мушкараца</w:t>
      </w:r>
      <w:r w:rsidR="00A218F7">
        <w:rPr>
          <w:iCs/>
          <w:lang w:val="sr-Cyrl-RS"/>
        </w:rPr>
        <w:t>.</w:t>
      </w:r>
    </w:p>
    <w:p w:rsidR="00A55FB4" w:rsidRPr="001F4340" w:rsidRDefault="001F4340" w:rsidP="00383559">
      <w:pPr>
        <w:pStyle w:val="Default"/>
        <w:jc w:val="both"/>
        <w:rPr>
          <w:iCs/>
          <w:color w:val="FF0000"/>
        </w:rPr>
      </w:pPr>
      <w:r>
        <w:rPr>
          <w:iCs/>
          <w:color w:val="FF0000"/>
        </w:rPr>
        <w:t xml:space="preserve">    </w:t>
      </w:r>
      <w:r w:rsidR="00352923" w:rsidRPr="00383559">
        <w:t xml:space="preserve"> 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дефинисања показатеља тежити ка томе да они задовоље критеријум СМАРТ. </w:t>
      </w:r>
      <w:r w:rsidR="00383559">
        <w:t>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</w:t>
      </w:r>
    </w:p>
    <w:p w:rsidR="00352923" w:rsidRPr="00383559" w:rsidRDefault="00352923" w:rsidP="00383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35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Pr="00383559">
        <w:rPr>
          <w:rFonts w:ascii="Times New Roman" w:hAnsi="Times New Roman" w:cs="Times New Roman"/>
          <w:sz w:val="24"/>
          <w:szCs w:val="24"/>
        </w:rPr>
        <w:t xml:space="preserve"> У складу са чланом 28. Закона о буџетском систему образложење одлуке о буџету садржи, између осталог, програмске информације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циљева. </w:t>
      </w:r>
    </w:p>
    <w:p w:rsidR="00352923" w:rsidRDefault="00352923" w:rsidP="00383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>
        <w:rPr>
          <w:b/>
          <w:bCs/>
          <w:sz w:val="23"/>
          <w:szCs w:val="23"/>
        </w:rPr>
        <w:t>исти могу извршавати само до висине апропријације утврђене одлуком о буџету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без обзира на то да ли су ови приходи остварени у већем или мањем обиму од планираног. </w:t>
      </w:r>
    </w:p>
    <w:p w:rsidR="00352923" w:rsidRPr="00383559" w:rsidRDefault="00352923" w:rsidP="00383559">
      <w:pPr>
        <w:pStyle w:val="Default"/>
        <w:jc w:val="both"/>
      </w:pPr>
      <w:r>
        <w:rPr>
          <w:sz w:val="23"/>
          <w:szCs w:val="23"/>
        </w:rPr>
        <w:t xml:space="preserve">           </w:t>
      </w:r>
      <w:r w:rsidRPr="00383559">
        <w:t xml:space="preserve">Уколико се у току године остваре наведени приходи у обиму већем од планираног актом у буџету, </w:t>
      </w:r>
      <w:r w:rsidRPr="00383559">
        <w:rPr>
          <w:b/>
          <w:bCs/>
        </w:rPr>
        <w:t>исти се могу користити и за извршавање других врста расхода</w:t>
      </w:r>
      <w:r w:rsidRPr="00383559">
        <w:t xml:space="preserve">, с обзиром на то да представљају опште приходе буџета којима се финансира јавна потрошња и који немају претходно утврђену намену. Такође, планирање висине расхода за намене предвиђене посебним прописима (чије одредбе нису стављени ван снаге) у поступку припреме и доношења буџета за наредну годину није условљено висином остварења тих прихода у текућој години. </w:t>
      </w:r>
    </w:p>
    <w:p w:rsidR="00352923" w:rsidRPr="00383559" w:rsidRDefault="00383559" w:rsidP="00383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23" w:rsidRPr="00352923">
        <w:rPr>
          <w:rFonts w:ascii="Times New Roman" w:hAnsi="Times New Roman" w:cs="Times New Roman"/>
          <w:sz w:val="24"/>
          <w:szCs w:val="24"/>
        </w:rPr>
        <w:t xml:space="preserve">С обзиром на то да су, у циљу што ефикаснијег спровођења фискалне политике, Законом утврђена и фискална правила за локалну власт, односно Законом је утврђено ограничење у погледу висине стварања фискалног дефицита (члан 27ж Закона), фискални дефицит локалне власти може настати само као резултат јавних инвестиција и </w:t>
      </w:r>
      <w:r w:rsidR="00352923" w:rsidRPr="00352923">
        <w:rPr>
          <w:rFonts w:ascii="Times New Roman" w:hAnsi="Times New Roman" w:cs="Times New Roman"/>
          <w:b/>
          <w:bCs/>
          <w:sz w:val="24"/>
          <w:szCs w:val="24"/>
        </w:rPr>
        <w:t xml:space="preserve">не може </w:t>
      </w:r>
      <w:r w:rsidR="00352923" w:rsidRPr="00352923">
        <w:rPr>
          <w:rFonts w:ascii="Times New Roman" w:hAnsi="Times New Roman" w:cs="Times New Roman"/>
          <w:sz w:val="24"/>
          <w:szCs w:val="24"/>
        </w:rPr>
        <w:t>бити већи од 10% њених прихода у тој години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923" w:rsidRPr="00352923" w:rsidRDefault="00352923" w:rsidP="003529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076B" w:rsidRPr="00794DFB" w:rsidRDefault="00CF6418" w:rsidP="00941C05">
      <w:pPr>
        <w:ind w:left="270"/>
        <w:rPr>
          <w:rFonts w:ascii="Times New Roman" w:hAnsi="Times New Roman" w:cs="Times New Roman"/>
          <w:b/>
          <w:lang w:val="sr-Cyrl-CS"/>
        </w:rPr>
      </w:pPr>
      <w:r w:rsidRPr="00794DFB">
        <w:rPr>
          <w:rFonts w:ascii="Times New Roman" w:hAnsi="Times New Roman" w:cs="Times New Roman"/>
          <w:b/>
          <w:lang w:val="sr-Cyrl-CS"/>
        </w:rPr>
        <w:t xml:space="preserve">            </w:t>
      </w:r>
    </w:p>
    <w:p w:rsidR="00942123" w:rsidRDefault="00794DFB" w:rsidP="00794DFB">
      <w:pPr>
        <w:pStyle w:val="ListParagraph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Основне економске претпоставке и смернице за припрему предлога финансијских планова и  Нацрта Одлуке о буџету за </w:t>
      </w:r>
      <w:r w:rsidR="00942123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941C05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42123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794DFB" w:rsidRPr="00794DFB" w:rsidRDefault="00794DFB" w:rsidP="00794DF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7076B" w:rsidRDefault="00794DFB" w:rsidP="00794DFB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Правци фискалне политике у 2023. години</w:t>
      </w:r>
    </w:p>
    <w:p w:rsidR="00794DFB" w:rsidRDefault="00794DFB" w:rsidP="00794DFB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1C05" w:rsidRPr="00941C05" w:rsidRDefault="00794DFB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941C05" w:rsidRPr="00941C05">
        <w:rPr>
          <w:rFonts w:ascii="Times New Roman" w:hAnsi="Times New Roman" w:cs="Times New Roman"/>
          <w:sz w:val="24"/>
          <w:szCs w:val="24"/>
          <w:lang w:val="sr-Cyrl-RS"/>
        </w:rPr>
        <w:t>Привреда Србије је током две године глобалне кризе изазване пандемијом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коронавируса остварила добре резултате. Кумулативни раст БДП у овом периоду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износио је 6,4%, што представља један од најбољих резултата у Европи. Пакет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економских мера током две кризне године допринео је повећању ликвидности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привредних субјеката и олакшању пословања, док је кроз давања становништву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подстицао домаћу тражњу и на тај начин индиректно утицао на економску активност.</w:t>
      </w:r>
    </w:p>
    <w:p w:rsidR="00941C05" w:rsidRPr="00941C05" w:rsidRDefault="00794DFB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C05" w:rsidRPr="00941C05">
        <w:rPr>
          <w:rFonts w:ascii="Times New Roman" w:hAnsi="Times New Roman" w:cs="Times New Roman"/>
          <w:sz w:val="24"/>
          <w:szCs w:val="24"/>
          <w:lang w:val="sr-Cyrl-RS"/>
        </w:rPr>
        <w:t>Поред ових привремених фактора који су позитивно допринели расту БДП дошло је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C05" w:rsidRPr="00941C05">
        <w:rPr>
          <w:rFonts w:ascii="Times New Roman" w:hAnsi="Times New Roman" w:cs="Times New Roman"/>
          <w:sz w:val="24"/>
          <w:szCs w:val="24"/>
          <w:lang w:val="sr-Cyrl-RS"/>
        </w:rPr>
        <w:t>до структурних побољшања. Она се пре свега огледају у активирању нових и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проширењу постојећих извозно конкурентних производних капацитета, као и у даљем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убрзаном развоју путне и железничке инфраструктуре којима се трајно повећао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потенцијал домаће привреде. Раст економске активности и пакет економске подршке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резултирали су стабилним кретањима на тржишту рада. Очувана су радна места и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зараде, како у приватном тако и у јавном сектору, а стопа незапослености у 2021.</w:t>
      </w:r>
    </w:p>
    <w:p w:rsidR="00941C05" w:rsidRPr="00941C05" w:rsidRDefault="00941C05" w:rsidP="00794DFB">
      <w:pPr>
        <w:ind w:right="250"/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години била је испод предпандемијског нивоа. Истовремено, није нарушена ни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унутрашња нити спољна равнотежа уз стабилан прилив СДИ које су обезбеђивале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више него пуну покривеност дефицита текућег рачуна. Повећана експанзивност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фискалне политике није угрозила одрживост јавних финансија. Боља наплата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прихода, пре свега пореских, услед бржег од очекиваног раста привреде одразила се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на очување фискалне стабилности.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Текућа макроекономска кретања почетком 2022. године генерално су на нивоу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пројектованих али су изгледи значајно погоршани као последица новог глобалног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шокаизазваног сукобом у Украјини. Иако је у првом кварталу 2022. године остварен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солидан економски раст изостали су значајнији негативни ефекти ових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геополитичких дешавања на динамику домаће привредне активности. Међутим,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ескалација сукоба и заоштравање међународних економских и политичких односа,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праћени рекордним ценама енергената и последично смањеној глобалној трговини и</w:t>
      </w:r>
    </w:p>
    <w:p w:rsidR="00941C05" w:rsidRPr="00941C05" w:rsidRDefault="00941C05" w:rsidP="00794D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спољној тражњи, неминовно ће се одразити и на домаћу економску активност у</w:t>
      </w:r>
    </w:p>
    <w:p w:rsidR="0087076B" w:rsidRDefault="00941C05" w:rsidP="00794DFB">
      <w:pPr>
        <w:rPr>
          <w:rFonts w:ascii="Times New Roman" w:hAnsi="Times New Roman" w:cs="Times New Roman"/>
          <w:b/>
          <w:sz w:val="24"/>
          <w:szCs w:val="24"/>
        </w:rPr>
      </w:pPr>
      <w:r w:rsidRPr="00941C05">
        <w:rPr>
          <w:rFonts w:ascii="Times New Roman" w:hAnsi="Times New Roman" w:cs="Times New Roman"/>
          <w:sz w:val="24"/>
          <w:szCs w:val="24"/>
          <w:lang w:val="sr-Cyrl-RS"/>
        </w:rPr>
        <w:t>наредном периоду.</w:t>
      </w:r>
    </w:p>
    <w:p w:rsidR="00755B90" w:rsidRPr="00D048A5" w:rsidRDefault="00755B90" w:rsidP="00D048A5">
      <w:pPr>
        <w:pStyle w:val="Default"/>
        <w:jc w:val="both"/>
      </w:pPr>
      <w:r w:rsidRPr="007D5A0C">
        <w:rPr>
          <w:b/>
          <w:i/>
          <w:lang w:val="sr-Cyrl-CS"/>
        </w:rPr>
        <w:t>Основне макроеконом</w:t>
      </w:r>
      <w:r w:rsidR="007D5A0C" w:rsidRPr="007D5A0C">
        <w:rPr>
          <w:b/>
          <w:i/>
          <w:lang w:val="sr-Cyrl-CS"/>
        </w:rPr>
        <w:t>ске претпоставке за 202</w:t>
      </w:r>
      <w:r w:rsidR="00941C05">
        <w:rPr>
          <w:b/>
          <w:i/>
          <w:lang w:val="sr-Cyrl-CS"/>
        </w:rPr>
        <w:t>3</w:t>
      </w:r>
      <w:r w:rsidR="007D5A0C" w:rsidRPr="007D5A0C">
        <w:rPr>
          <w:b/>
          <w:i/>
          <w:lang w:val="sr-Cyrl-CS"/>
        </w:rPr>
        <w:t>. годину</w:t>
      </w:r>
    </w:p>
    <w:p w:rsidR="00E9184F" w:rsidRPr="00E9184F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11"/>
        <w:gridCol w:w="3011"/>
      </w:tblGrid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95" w:type="dxa"/>
          </w:tcPr>
          <w:p w:rsidR="007D5A0C" w:rsidRPr="007D5A0C" w:rsidRDefault="007D5A0C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048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  <w:r w:rsidR="00794D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</w:t>
            </w:r>
            <w:r w:rsidR="005C10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96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</w:t>
            </w:r>
            <w:r w:rsidR="005C10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БДП,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</w:t>
            </w:r>
            <w:r w:rsidRPr="007D5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 РСД</w:t>
            </w:r>
          </w:p>
        </w:tc>
        <w:tc>
          <w:tcPr>
            <w:tcW w:w="3095" w:type="dxa"/>
          </w:tcPr>
          <w:p w:rsidR="007D5A0C" w:rsidRPr="007D5A0C" w:rsidRDefault="005C1080" w:rsidP="005C1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6904,4</w:t>
            </w:r>
            <w:r w:rsid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</w:t>
            </w:r>
            <w:r w:rsidR="00D048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</w:t>
            </w:r>
          </w:p>
        </w:tc>
        <w:tc>
          <w:tcPr>
            <w:tcW w:w="3096" w:type="dxa"/>
          </w:tcPr>
          <w:p w:rsidR="00D048A5" w:rsidRDefault="007D5A0C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</w:t>
            </w:r>
          </w:p>
          <w:p w:rsidR="007D5A0C" w:rsidRPr="00D048A5" w:rsidRDefault="005C1080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7465,2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Стопа номиналног раста БДП, %</w:t>
            </w:r>
          </w:p>
        </w:tc>
        <w:tc>
          <w:tcPr>
            <w:tcW w:w="3095" w:type="dxa"/>
          </w:tcPr>
          <w:p w:rsidR="00D048A5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</w:p>
          <w:p w:rsidR="00D048A5" w:rsidRDefault="00D048A5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D5A0C" w:rsidRPr="00CF228A" w:rsidRDefault="005C1080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10,1</w:t>
            </w:r>
          </w:p>
        </w:tc>
        <w:tc>
          <w:tcPr>
            <w:tcW w:w="3096" w:type="dxa"/>
          </w:tcPr>
          <w:p w:rsidR="00D048A5" w:rsidRDefault="00D048A5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48A5" w:rsidRDefault="00D048A5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5C1080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8,1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Стопе реалног раста БДП,%</w:t>
            </w:r>
          </w:p>
        </w:tc>
        <w:tc>
          <w:tcPr>
            <w:tcW w:w="3095" w:type="dxa"/>
          </w:tcPr>
          <w:p w:rsidR="007D5A0C" w:rsidRPr="007D5A0C" w:rsidRDefault="007D5A0C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48A5" w:rsidRDefault="00D048A5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48A5" w:rsidRDefault="00D048A5" w:rsidP="007D5A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5C1080" w:rsidP="00D0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3,5</w:t>
            </w:r>
          </w:p>
        </w:tc>
        <w:tc>
          <w:tcPr>
            <w:tcW w:w="3096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48A5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</w:t>
            </w:r>
          </w:p>
          <w:p w:rsidR="00D048A5" w:rsidRDefault="00D048A5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5C1080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</w:t>
            </w:r>
            <w:r w:rsidR="00D048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7D5A0C"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</w:t>
            </w:r>
          </w:p>
        </w:tc>
      </w:tr>
      <w:tr w:rsidR="007D5A0C" w:rsidRPr="007D5A0C" w:rsidTr="007D5A0C">
        <w:tc>
          <w:tcPr>
            <w:tcW w:w="3095" w:type="dxa"/>
          </w:tcPr>
          <w:p w:rsidR="007D5A0C" w:rsidRDefault="005C1080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Потрошачке цене</w:t>
            </w:r>
          </w:p>
          <w:p w:rsidR="005C1080" w:rsidRPr="007D5A0C" w:rsidRDefault="005C1080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(годишњи просек), %</w:t>
            </w:r>
          </w:p>
        </w:tc>
        <w:tc>
          <w:tcPr>
            <w:tcW w:w="3095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7D5A0C" w:rsidP="007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5C10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10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9,2</w:t>
            </w:r>
            <w:r w:rsidRPr="007D5A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</w:t>
            </w:r>
          </w:p>
        </w:tc>
        <w:tc>
          <w:tcPr>
            <w:tcW w:w="3096" w:type="dxa"/>
          </w:tcPr>
          <w:p w:rsidR="007D5A0C" w:rsidRPr="007D5A0C" w:rsidRDefault="007D5A0C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5A0C" w:rsidRPr="007D5A0C" w:rsidRDefault="005C1080" w:rsidP="00E9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5,3</w:t>
            </w:r>
          </w:p>
        </w:tc>
      </w:tr>
    </w:tbl>
    <w:p w:rsidR="00E9184F" w:rsidRPr="007D5A0C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47C7" w:rsidRDefault="00D048A5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  <w:sz w:val="20"/>
          <w:szCs w:val="20"/>
          <w:lang w:val="sr-Cyrl-CS"/>
        </w:rPr>
      </w:pPr>
      <w:r w:rsidRPr="00D048A5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Извор: Фискална с</w:t>
      </w:r>
      <w:r w:rsidR="00CF228A">
        <w:rPr>
          <w:rFonts w:ascii="Times New Roman,Italic" w:hAnsi="Times New Roman,Italic" w:cs="Times New Roman,Italic"/>
          <w:iCs/>
          <w:sz w:val="20"/>
          <w:szCs w:val="20"/>
          <w:lang w:val="sr-Cyrl-RS"/>
        </w:rPr>
        <w:t>тр</w:t>
      </w:r>
      <w:r w:rsidRPr="00D048A5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атегија за 202</w:t>
      </w:r>
      <w:r w:rsidR="005C1080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3</w:t>
      </w:r>
      <w:r w:rsidRPr="00D048A5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. годину са пројекцијама за 202</w:t>
      </w:r>
      <w:r w:rsidR="005C1080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4</w:t>
      </w:r>
      <w:r w:rsidRPr="00D048A5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. и 202</w:t>
      </w:r>
      <w:r w:rsidR="005C1080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5</w:t>
      </w:r>
      <w:r w:rsidRPr="00D048A5">
        <w:rPr>
          <w:rFonts w:ascii="Times New Roman,Italic" w:hAnsi="Times New Roman,Italic" w:cs="Times New Roman,Italic"/>
          <w:iCs/>
          <w:sz w:val="20"/>
          <w:szCs w:val="20"/>
          <w:lang w:val="sr-Cyrl-CS"/>
        </w:rPr>
        <w:t>. годину</w:t>
      </w:r>
    </w:p>
    <w:p w:rsidR="00D048A5" w:rsidRDefault="00D048A5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  <w:sz w:val="20"/>
          <w:szCs w:val="20"/>
          <w:lang w:val="sr-Cyrl-CS"/>
        </w:rPr>
      </w:pPr>
    </w:p>
    <w:p w:rsidR="005C1080" w:rsidRDefault="009F0A9F" w:rsidP="00753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r w:rsidR="005C1080" w:rsidRPr="005C1080">
        <w:rPr>
          <w:rFonts w:ascii="Times New Roman" w:hAnsi="Times New Roman" w:cs="Times New Roman"/>
          <w:sz w:val="24"/>
          <w:szCs w:val="24"/>
        </w:rPr>
        <w:t>Циљеви фискалне политике су усмерени на одржање фискалне стабилности и смањење учешћа јавног дуга у БДП. Средњорочни фискални оквир предвиђа постепено смањење дефицита опште државе на ниво од 0,5% БДП до 2025. године и пад учешћа јавног дуга на 50,7% БДП. Пројекције фискалних агрегата у периоду од 2023. до 2025. године заснивају се на пројекцијама макроекономских показатеља за наведени период, планираној пореској политици која подразумева даље усаглашавање са законима и директивама ЕУ и фискалним и структурним мерама, укључујући и даљу реформу великих јавних предузећа. У 2023. години предвиђен је дефицит у износу од 1,5% БДП. Одговорном фискалном политиком у предпандемијском периоду створен је значајан фискални простор који је омогућио пакете мера у склопу борбе против ефеката кризе изазване пандемијом током 2020. и 2021. године. У овој и наредној години не очекује се истоветан утицај пандемије који би захтевао сличан пакет мера, али ће ситуација у Украјини и међународни односи који се формирају као реакција на њу снажно утицати на економска кретања. У 2022. години су већ почеле да се примењују мере које би требало да амортизују шокове настале из ове кризе. Реакција фискалне политике у 5 наредном периоду, креиране мере и њихове фискалне импликације биће дизајниране тако да не угрозе стабилност јавних финансија и темпо смањења јавног дуга, затим да одрже животни стандард становништва и помогну привредни развој, али и да осигурају флексибилност реакције на евентуално снажнији удар кризе. Расположив фискални простор у 2023. години биће опредељен за наставак реализације приоритетних капиталних инвестиција, повећање пензија и плата у јавном сектору као и наставак</w:t>
      </w:r>
      <w:r w:rsidR="005C1080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пореског растерећења привреде.</w:t>
      </w:r>
    </w:p>
    <w:p w:rsidR="005C1080" w:rsidRDefault="009F0A9F" w:rsidP="00753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 </w:t>
      </w:r>
      <w:r w:rsidR="005C1080" w:rsidRPr="005C1080">
        <w:rPr>
          <w:rFonts w:ascii="Times New Roman" w:hAnsi="Times New Roman" w:cs="Times New Roman"/>
          <w:b/>
          <w:sz w:val="24"/>
          <w:szCs w:val="24"/>
        </w:rPr>
        <w:t>Приликом планирања прихода локална власт је у обавези да исте реално планира</w:t>
      </w:r>
      <w:r w:rsidR="005C1080" w:rsidRPr="005C1080">
        <w:rPr>
          <w:rFonts w:ascii="Times New Roman" w:hAnsi="Times New Roman" w:cs="Times New Roman"/>
          <w:sz w:val="24"/>
          <w:szCs w:val="24"/>
        </w:rPr>
        <w:t>, тј. потребно је поћи од остварења прихода за три квартала у 2022. години и њихове процене за задњи квартал те године, што представља основ за њихово увећање, при чему укупан раст прихода не сме да буде већи од номиналног раста БДП (</w:t>
      </w:r>
      <w:r w:rsidR="005C1080" w:rsidRPr="005C1080">
        <w:rPr>
          <w:rFonts w:ascii="Times New Roman" w:hAnsi="Times New Roman" w:cs="Times New Roman"/>
          <w:b/>
          <w:sz w:val="24"/>
          <w:szCs w:val="24"/>
        </w:rPr>
        <w:t>пројектован номинални раст у 2023. години од 8,1%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). Изузетно, локална власт може планирати већи обим прихода, с тим што је у том случају дужна да у образложењу одлуке о буџету наведе разлоге за такво поступање, као и да образложи параметре (кретање запослености, просечне зараде, очекиване инвестиционе активности, промене у степену наплате пореза на имовину итд.) коришћене за пројекцију таквих прихода. </w:t>
      </w:r>
    </w:p>
    <w:p w:rsidR="009F0A9F" w:rsidRDefault="009F0A9F" w:rsidP="009F0A9F">
      <w:pPr>
        <w:autoSpaceDE w:val="0"/>
        <w:autoSpaceDN w:val="0"/>
        <w:adjustRightInd w:val="0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60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Уколико локална власт очекује приходе по основу донација, апропријације прихода и расхода (извор финансирања 05 и 06) може планирати у складу са очекиваним износом ових средстава. Апропријације прихода и примања, расхода и издатака из изворa финансирања 07 - Трансфери од других нивоа власти, 08 - Добровољни трансфери од физичких и правних лица и 09 - Примања од продаје нефинансијске имовине могу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планирати у складу са реално очекиваним приливом средстава по тим основама.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9F0A9F" w:rsidRDefault="009F0A9F" w:rsidP="009F0A9F">
      <w:pPr>
        <w:autoSpaceDE w:val="0"/>
        <w:autoSpaceDN w:val="0"/>
        <w:adjustRightInd w:val="0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Ненаменске трансфере јединице локалне самоуправе треба да планирају у истом износу који је био опредељен Законом о буџету Републике Србије за 2022. годину („Службени гласник РС”, број 110/21). </w:t>
      </w:r>
    </w:p>
    <w:p w:rsidR="00760072" w:rsidRDefault="009F0A9F" w:rsidP="009F0A9F">
      <w:pPr>
        <w:autoSpaceDE w:val="0"/>
        <w:autoSpaceDN w:val="0"/>
        <w:adjustRightInd w:val="0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У складу са чланом 5. Закона о буџетском систему приходи и примања исказују се у укупно оствареним износима, а расходи и издаци у укупно извршеним износима. Правилником о условима и начину вођења рачуна за уплату јавних прихода и распоред средстава са тих рачуна прописани су рачуни за уплату јавних прихода, тако да сви јавни приходи и примања којима се финансирају надлежности локалне власти </w:t>
      </w:r>
      <w:r w:rsidR="005C1080" w:rsidRPr="009F0A9F">
        <w:rPr>
          <w:rFonts w:ascii="Times New Roman" w:hAnsi="Times New Roman" w:cs="Times New Roman"/>
          <w:b/>
          <w:sz w:val="24"/>
          <w:szCs w:val="24"/>
        </w:rPr>
        <w:t>треба да буду уплаћени на рачуне прописане за уплату јавних прихода,</w:t>
      </w:r>
      <w:r w:rsidR="005C1080" w:rsidRPr="005C1080">
        <w:rPr>
          <w:rFonts w:ascii="Times New Roman" w:hAnsi="Times New Roman" w:cs="Times New Roman"/>
          <w:sz w:val="24"/>
          <w:szCs w:val="24"/>
        </w:rPr>
        <w:t xml:space="preserve"> чиме би се испоштовало уставно начело бруто принципа (члан 92. Устава Републике Србије), а не на подрачуне корисника буџетских средстава.</w:t>
      </w:r>
      <w:r w:rsidR="004C26FB" w:rsidRPr="005C108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60072" w:rsidRDefault="00760072" w:rsidP="009F0A9F">
      <w:pPr>
        <w:autoSpaceDE w:val="0"/>
        <w:autoSpaceDN w:val="0"/>
        <w:adjustRightInd w:val="0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BBD" w:rsidRPr="005C1080" w:rsidRDefault="004C26FB" w:rsidP="009F0A9F">
      <w:pPr>
        <w:autoSpaceDE w:val="0"/>
        <w:autoSpaceDN w:val="0"/>
        <w:adjustRightInd w:val="0"/>
        <w:ind w:left="9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08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21789" w:rsidRPr="00794DFB" w:rsidRDefault="00ED6AAA" w:rsidP="00ED6AA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2E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5D0BD3" w:rsidRPr="00794DFB">
        <w:rPr>
          <w:rFonts w:ascii="Times New Roman" w:hAnsi="Times New Roman" w:cs="Times New Roman"/>
          <w:b/>
          <w:sz w:val="24"/>
          <w:szCs w:val="24"/>
        </w:rPr>
        <w:t>О</w:t>
      </w:r>
      <w:r w:rsidR="005D0BD3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пис планиране</w:t>
      </w:r>
      <w:r w:rsidR="00B21E2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јавне</w:t>
      </w:r>
      <w:r w:rsidR="007D3D91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политике</w:t>
      </w:r>
      <w:r w:rsidR="00261569" w:rsidRPr="0079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91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општине Мионица за период</w:t>
      </w:r>
      <w:r w:rsidRPr="00794D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60072" w:rsidRPr="00794DF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94DFB">
        <w:rPr>
          <w:rFonts w:ascii="Times New Roman" w:hAnsi="Times New Roman" w:cs="Times New Roman"/>
          <w:b/>
          <w:sz w:val="24"/>
          <w:szCs w:val="24"/>
        </w:rPr>
        <w:t>-202</w:t>
      </w:r>
      <w:r w:rsidR="00760072" w:rsidRPr="00794DF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7D3D91" w:rsidRPr="00794DFB">
        <w:rPr>
          <w:rFonts w:ascii="Times New Roman" w:hAnsi="Times New Roman" w:cs="Times New Roman"/>
          <w:b/>
          <w:sz w:val="24"/>
          <w:szCs w:val="24"/>
        </w:rPr>
        <w:t>.</w:t>
      </w:r>
      <w:r w:rsidR="007D3D91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261569" w:rsidRPr="00755B90" w:rsidRDefault="00261569" w:rsidP="0026156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39" w:rsidRDefault="007D0190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AAA">
        <w:rPr>
          <w:rFonts w:ascii="Times New Roman" w:hAnsi="Times New Roman" w:cs="Times New Roman"/>
          <w:sz w:val="24"/>
          <w:szCs w:val="24"/>
        </w:rPr>
        <w:t>У периоду од 202</w:t>
      </w:r>
      <w:r w:rsidR="007600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D6AAA">
        <w:rPr>
          <w:rFonts w:ascii="Times New Roman" w:hAnsi="Times New Roman" w:cs="Times New Roman"/>
          <w:sz w:val="24"/>
          <w:szCs w:val="24"/>
        </w:rPr>
        <w:t>. до 202</w:t>
      </w:r>
      <w:r w:rsidR="0076007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61569">
        <w:rPr>
          <w:rFonts w:ascii="Times New Roman" w:hAnsi="Times New Roman" w:cs="Times New Roman"/>
          <w:sz w:val="24"/>
          <w:szCs w:val="24"/>
        </w:rPr>
        <w:t xml:space="preserve">. године општина </w:t>
      </w:r>
      <w:r w:rsidR="0026156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ће обављати изворне, поверене и пренесене надлежности у складу са Уставом Републике Србије и Законом о локалној самоуправи, као и другим зак</w:t>
      </w:r>
      <w:r w:rsidR="00D83A39">
        <w:rPr>
          <w:rFonts w:ascii="Times New Roman" w:hAnsi="Times New Roman" w:cs="Times New Roman"/>
          <w:sz w:val="24"/>
          <w:szCs w:val="24"/>
        </w:rPr>
        <w:t>онским и подзаконским актима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789" w:rsidRPr="00374601">
        <w:rPr>
          <w:rFonts w:ascii="Times New Roman" w:hAnsi="Times New Roman" w:cs="Times New Roman"/>
          <w:sz w:val="24"/>
          <w:szCs w:val="24"/>
        </w:rPr>
        <w:t>којим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се </w:t>
      </w:r>
      <w:proofErr w:type="gramStart"/>
      <w:r w:rsidR="00221789" w:rsidRPr="00374601">
        <w:rPr>
          <w:rFonts w:ascii="Times New Roman" w:hAnsi="Times New Roman" w:cs="Times New Roman"/>
          <w:sz w:val="24"/>
          <w:szCs w:val="24"/>
        </w:rPr>
        <w:t xml:space="preserve">регулише 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</w:t>
      </w:r>
      <w:proofErr w:type="gramEnd"/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Мионица</w:t>
      </w:r>
      <w:r w:rsidR="00D83A39">
        <w:rPr>
          <w:rFonts w:ascii="Times New Roman" w:hAnsi="Times New Roman" w:cs="Times New Roman"/>
          <w:sz w:val="24"/>
          <w:szCs w:val="24"/>
        </w:rPr>
        <w:t>.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Општина Мионица ће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наредном периоду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наставити са пословима: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-пољопривред</w:t>
      </w:r>
      <w:r w:rsidR="00223B84">
        <w:rPr>
          <w:rFonts w:ascii="Times New Roman" w:hAnsi="Times New Roman" w:cs="Times New Roman"/>
          <w:sz w:val="24"/>
          <w:szCs w:val="24"/>
        </w:rPr>
        <w:t>e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 xml:space="preserve"> и руралн</w:t>
      </w:r>
      <w:r w:rsidR="00223B84">
        <w:rPr>
          <w:rFonts w:ascii="Times New Roman" w:hAnsi="Times New Roman" w:cs="Times New Roman"/>
          <w:sz w:val="24"/>
          <w:szCs w:val="24"/>
        </w:rPr>
        <w:t>o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-заштите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</w:t>
      </w:r>
    </w:p>
    <w:p w:rsidR="00205A29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>-урбанизам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планирања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-вођења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политике локалног економског развоја</w:t>
      </w:r>
    </w:p>
    <w:p w:rsidR="00D83A39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-опорезивања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,финансијско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управљање и контроле,буџетирања</w:t>
      </w:r>
    </w:p>
    <w:p w:rsidR="007019B2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бављања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делатности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јавне расвете,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зоохигијена,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на јавним површинама,и др.)</w:t>
      </w:r>
    </w:p>
    <w:p w:rsidR="00D83A39" w:rsidRPr="009D5071" w:rsidRDefault="007D3D91" w:rsidP="0007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464B"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пројектно-</w:t>
      </w:r>
      <w:r w:rsidR="00A34A0E">
        <w:rPr>
          <w:rFonts w:ascii="Times New Roman" w:hAnsi="Times New Roman" w:cs="Times New Roman"/>
          <w:sz w:val="24"/>
          <w:szCs w:val="24"/>
          <w:lang w:val="sr-Cyrl-CS"/>
        </w:rPr>
        <w:t>техничке документације са којом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ће општина Мионица аплицирати код одређених финансијских фондова за реализацију истих,а који су у функцији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раз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воја инфраструктуре</w:t>
      </w:r>
    </w:p>
    <w:p w:rsidR="003078FD" w:rsidRPr="007D3D91" w:rsidRDefault="007D3D91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-даљег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туризма</w:t>
      </w:r>
    </w:p>
    <w:p w:rsidR="007019B2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обезбеђивање функционисања локалних установа у</w:t>
      </w:r>
      <w:r w:rsidR="009D5071">
        <w:rPr>
          <w:rFonts w:ascii="Times New Roman" w:hAnsi="Times New Roman" w:cs="Times New Roman"/>
          <w:sz w:val="24"/>
          <w:szCs w:val="24"/>
        </w:rPr>
        <w:t xml:space="preserve"> oбразовању,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култури и спорту</w:t>
      </w:r>
    </w:p>
    <w:p w:rsidR="00D83A39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организацији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културних и спорстких активности и манифестација,</w:t>
      </w:r>
    </w:p>
    <w:p w:rsidR="007019B2" w:rsidRPr="00E43624" w:rsidRDefault="00E43624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пружању осталих услуга грађанима и привреди у складу са Законом.</w:t>
      </w:r>
    </w:p>
    <w:p w:rsidR="00FF11B7" w:rsidRDefault="00FF11B7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072ECA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обављати по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верене и пренесене послове из области:државне управе,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социјалне заштите,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здравствене заштите,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предшколског,основног и ср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едњег образовања,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рада инспекцијски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х служби,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екологије и очувања животне средине и др.</w:t>
      </w:r>
    </w:p>
    <w:p w:rsidR="0076292D" w:rsidRDefault="0076292D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072ECA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и у 202</w:t>
      </w:r>
      <w:r w:rsidR="0076007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.години наставити са спровођењем мера штед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>е и рационализације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сходно предлозима Владе Републике Србије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и биће испоштоване мере предлож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ене од стране Министарства финансија о начину планирања одређених врста расхода.</w:t>
      </w:r>
    </w:p>
    <w:p w:rsidR="0076292D" w:rsidRDefault="0076292D" w:rsidP="00072E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2A3" w:rsidRPr="00FF11B7" w:rsidRDefault="00072ECA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0E66EC" w:rsidRPr="00794DFB" w:rsidRDefault="000E66EC" w:rsidP="000E66E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FB">
        <w:rPr>
          <w:rFonts w:ascii="Times New Roman" w:hAnsi="Times New Roman" w:cs="Times New Roman"/>
          <w:b/>
          <w:sz w:val="24"/>
          <w:szCs w:val="24"/>
        </w:rPr>
        <w:t xml:space="preserve">Доношење одлуке о локалним комуналним таксама за 2023. </w:t>
      </w:r>
      <w:r w:rsidR="00794DF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794DFB">
        <w:rPr>
          <w:rFonts w:ascii="Times New Roman" w:hAnsi="Times New Roman" w:cs="Times New Roman"/>
          <w:b/>
          <w:sz w:val="24"/>
          <w:szCs w:val="24"/>
        </w:rPr>
        <w:t>одину</w:t>
      </w:r>
    </w:p>
    <w:p w:rsidR="000E66EC" w:rsidRPr="000E66EC" w:rsidRDefault="000E66EC" w:rsidP="000E66EC">
      <w:pPr>
        <w:pStyle w:val="ListParagraph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</w:t>
      </w:r>
      <w:r>
        <w:t xml:space="preserve"> </w:t>
      </w:r>
      <w:r w:rsidRPr="000E66EC">
        <w:rPr>
          <w:rFonts w:ascii="Times New Roman" w:hAnsi="Times New Roman" w:cs="Times New Roman"/>
          <w:sz w:val="24"/>
          <w:szCs w:val="24"/>
        </w:rPr>
        <w:t>Чланом 7. Закона о финансирању локалне самоуправе („Службени гласник РС”, бр. 62/06, 47/11, 93/12, 99/13, 125/14, 95/15, 83/16, 91/16, 104/16, 96/17, 89/18, 95/18, 86/19, 126/20 и 111/21 - у даљем тексту: Закон) прописано је да начин и мерила за одређивање висине локалних такси и накнада утврђује скупштина јединице локалне самоуправе својом одлуком, у складу са законом, као и да се доноси након одржавања јавне расправе, а може се мењати највише једанпут годишње, и то у поступку утврђивања буџета јединице локалне самоуправе за наредну годину.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E66EC">
        <w:rPr>
          <w:rFonts w:ascii="Times New Roman" w:hAnsi="Times New Roman" w:cs="Times New Roman"/>
          <w:sz w:val="24"/>
          <w:szCs w:val="24"/>
        </w:rPr>
        <w:t xml:space="preserve"> С тим у вези када је у питању подношење захтева за добијање сагласности за утврђивање локалне комуналне таксе за истицање фирме на пословном простору (фирмарина) у износу већем од оног који је прописан чланом 15а Закона о финасирању локалне самоуправе, указујемо да јединице локалне самоуправе могу поднети захтев за добијање сагласности за утврђивање већег износа фирмарине све до окончања поступка утврђивања буџета за </w:t>
      </w:r>
      <w:proofErr w:type="gramStart"/>
      <w:r w:rsidRPr="000E66EC">
        <w:rPr>
          <w:rFonts w:ascii="Times New Roman" w:hAnsi="Times New Roman" w:cs="Times New Roman"/>
          <w:sz w:val="24"/>
          <w:szCs w:val="24"/>
        </w:rPr>
        <w:t>наредну  годину</w:t>
      </w:r>
      <w:proofErr w:type="gramEnd"/>
      <w:r w:rsidRPr="000E66EC">
        <w:rPr>
          <w:rFonts w:ascii="Times New Roman" w:hAnsi="Times New Roman" w:cs="Times New Roman"/>
          <w:sz w:val="24"/>
          <w:szCs w:val="24"/>
        </w:rPr>
        <w:t>, тј. до усвајања Одлуке о буџету за наредну годину од стране скупштине локалне власти.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E66EC">
        <w:rPr>
          <w:rFonts w:ascii="Times New Roman" w:hAnsi="Times New Roman" w:cs="Times New Roman"/>
          <w:sz w:val="24"/>
          <w:szCs w:val="24"/>
        </w:rPr>
        <w:t xml:space="preserve"> Такође, приликом утврђивања фирмарине, јединице локалне самоуправе треба да се везују за правно лице, а не за пословни простор и то на годишњем нивоу. Наведено значи да независно од тога на колико је објеката истакнута фирма, укупна годишња </w:t>
      </w:r>
      <w:r w:rsidRPr="000E66EC">
        <w:rPr>
          <w:rFonts w:ascii="Times New Roman" w:hAnsi="Times New Roman" w:cs="Times New Roman"/>
          <w:sz w:val="24"/>
          <w:szCs w:val="24"/>
        </w:rPr>
        <w:lastRenderedPageBreak/>
        <w:t xml:space="preserve">фирмарина за одређено правно лице не може бити већа од максимума који је прописан чланом 15а за категорију којој то правно лице припада. 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0E66EC">
        <w:rPr>
          <w:rFonts w:ascii="Times New Roman" w:hAnsi="Times New Roman" w:cs="Times New Roman"/>
          <w:sz w:val="24"/>
          <w:szCs w:val="24"/>
        </w:rPr>
        <w:t>Одредбом члана 15в Закона о финансирању локалне самоуправе прописано је да се највиши износи локалне комуналне таксе за држање моторних друмских и прикључних возила, осим пољопривредних возила и машина усклађују годишње, са годишњим индексом потрошачких цена који објављује републички орган надлежан за послове статистике.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E66EC">
        <w:rPr>
          <w:rFonts w:ascii="Times New Roman" w:hAnsi="Times New Roman" w:cs="Times New Roman"/>
          <w:sz w:val="24"/>
          <w:szCs w:val="24"/>
        </w:rPr>
        <w:t xml:space="preserve"> Највишe износe локалне комуналне таксе, усклађенe са годишњим индексом потрошачких цена утврђује Влада, сагласно члану 15в став 4. Закона, а исти се објављују у „Службеном гласнику Републике Србије”. 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66EC">
        <w:rPr>
          <w:rFonts w:ascii="Times New Roman" w:hAnsi="Times New Roman" w:cs="Times New Roman"/>
          <w:sz w:val="24"/>
          <w:szCs w:val="24"/>
        </w:rPr>
        <w:t>Локална комунална такса за држање моторних друмских и прикључних возила, осим пољопривредних возила и машина, мора бити усклађена са чланом 7. Закона о безбедности саобраћаја на путевима („Службени гласник РС”, бр. 41/09...41/18, 87/18, 23/19 и 128/20), односно са Правилником о подели моторних и прикључних возила и техничким условима за возила у саобраћају на путевима („Службени гласник РС”, бр. 40/12...70/18, 95/18, 104/18,93/19, 2/20 и 64/21), донетим на основу члана 7. став 2. Закона о безбедности саобраћаја на путевима, тако да је потребно ускладити врсте возила са наведеним законом и правилником, а висину комуналне таксе за та возила утврдити у оквиру усклађених највиших износа ове локалне комуналне таксе, како би полицијске управе без проблема вршиле наплату овог локалног јавног прихода.</w:t>
      </w:r>
    </w:p>
    <w:p w:rsid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66EC">
        <w:rPr>
          <w:rFonts w:ascii="Times New Roman" w:hAnsi="Times New Roman" w:cs="Times New Roman"/>
          <w:sz w:val="24"/>
          <w:szCs w:val="24"/>
        </w:rPr>
        <w:t xml:space="preserve"> Имајући у виду да према члану 32. Закона о локалној самоуправи („Службени гласник РС”, број 129/07, 83/14 - др.закон, 101/16 - др.закон, 47/18 и 111/21) скупштина јединице локалне самоуправе, у складу са законом, између осталог, утврђује стопе изворних прихода, као и начин и мерила за одређивање висине локалних такси и накнада, јединице локалне самоуправе су у обавези да, приликом одређивања висине локалних комуналних такси, имају у виду члан 91. Устава Републике Србије, према коме се обавеза плаћања пореза и других дажбина заснива на економској моћи обвезника. У складу са тим, јединице локалне самоуправе су у обавези да определе висину локалних комуналних такси која неће угрозити нормално функционисање обвезника. </w:t>
      </w:r>
    </w:p>
    <w:p w:rsidR="00603B00" w:rsidRPr="000E66EC" w:rsidRDefault="000E66EC" w:rsidP="009533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0E66EC">
        <w:rPr>
          <w:rFonts w:ascii="Times New Roman" w:hAnsi="Times New Roman" w:cs="Times New Roman"/>
          <w:sz w:val="24"/>
          <w:szCs w:val="24"/>
        </w:rPr>
        <w:t>Такође, актом којим се утврђују локалне комуналне таксе не може се прописивати таксени основ, односно проширивати предмет таксене обавезе утврђене законом, с обзиром да би то за последицу имало неусклађеност одлуке са Уставом и законом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455C" w:rsidRPr="000E66EC" w:rsidRDefault="00221789" w:rsidP="00760072">
      <w:pPr>
        <w:jc w:val="both"/>
        <w:rPr>
          <w:rFonts w:ascii="Times New Roman" w:hAnsi="Times New Roman" w:cs="Times New Roman"/>
          <w:sz w:val="24"/>
          <w:szCs w:val="24"/>
        </w:rPr>
      </w:pPr>
      <w:r w:rsidRPr="000E66EC">
        <w:rPr>
          <w:rFonts w:ascii="Times New Roman" w:hAnsi="Times New Roman" w:cs="Times New Roman"/>
          <w:sz w:val="24"/>
          <w:szCs w:val="24"/>
        </w:rPr>
        <w:t xml:space="preserve"> </w:t>
      </w:r>
      <w:r w:rsidR="007D0190" w:rsidRPr="000E66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1A92" w:rsidRPr="000E66EC" w:rsidRDefault="00A13049" w:rsidP="00A130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E66E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</w:t>
      </w:r>
    </w:p>
    <w:p w:rsidR="00AA1EA0" w:rsidRPr="0059386B" w:rsidRDefault="007D0190" w:rsidP="007600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0D54E0">
        <w:rPr>
          <w:rFonts w:ascii="TimesNewRomanPSMT" w:hAnsi="TimesNewRomanPSMT" w:cs="TimesNewRomanPSMT"/>
          <w:b/>
          <w:sz w:val="24"/>
          <w:szCs w:val="24"/>
        </w:rPr>
        <w:t xml:space="preserve">              </w:t>
      </w:r>
      <w:r w:rsidR="00794DFB">
        <w:rPr>
          <w:rFonts w:ascii="TimesNewRomanPSMT" w:hAnsi="TimesNewRomanPSMT" w:cs="TimesNewRomanPSMT"/>
          <w:b/>
          <w:sz w:val="24"/>
          <w:szCs w:val="24"/>
          <w:lang w:val="sr-Cyrl-RS"/>
        </w:rPr>
        <w:t>6</w:t>
      </w:r>
      <w:r w:rsidR="00760072" w:rsidRPr="000D54E0">
        <w:rPr>
          <w:rFonts w:ascii="TimesNewRomanPSMT" w:hAnsi="TimesNewRomanPSMT" w:cs="TimesNewRomanPSMT"/>
          <w:b/>
          <w:sz w:val="24"/>
          <w:szCs w:val="24"/>
          <w:lang w:val="sr-Cyrl-RS"/>
        </w:rPr>
        <w:t>.</w:t>
      </w:r>
      <w:r w:rsidR="00072ECA" w:rsidRPr="0076007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4C5065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Обим средстава,</w:t>
      </w:r>
      <w:r w:rsidR="0079163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односно</w:t>
      </w:r>
      <w:r w:rsidR="004C5065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лимит</w:t>
      </w:r>
      <w:r w:rsidR="0079163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расхода и издатака буџетских корисника за 202</w:t>
      </w:r>
      <w:r w:rsidR="00760072" w:rsidRPr="00794DF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9163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FD75F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1638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годину</w:t>
      </w:r>
      <w:r w:rsidR="00425F57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пројекција за 2024. и 2025. годину</w:t>
      </w:r>
    </w:p>
    <w:p w:rsidR="00791638" w:rsidRPr="00072ECA" w:rsidRDefault="00791638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91638" w:rsidRDefault="00FD75F8" w:rsidP="00CF2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072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величину потребног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фискалног прилагођавања, у овом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>упу</w:t>
      </w:r>
      <w:r w:rsidR="00AE540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A649D9">
        <w:rPr>
          <w:rFonts w:ascii="Times New Roman" w:hAnsi="Times New Roman" w:cs="Times New Roman"/>
          <w:sz w:val="24"/>
          <w:szCs w:val="24"/>
          <w:lang w:val="sr-Cyrl-CS"/>
        </w:rPr>
        <w:t>ству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утврђују се смернице за</w:t>
      </w:r>
      <w:r w:rsidR="00AE54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4A0" w:rsidRPr="00F264A0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планирање појединих категорија расхода и издатака</w:t>
      </w:r>
      <w:r w:rsidR="00B21E28">
        <w:rPr>
          <w:rFonts w:ascii="Times New Roman" w:hAnsi="Times New Roman" w:cs="Times New Roman"/>
          <w:sz w:val="24"/>
          <w:szCs w:val="24"/>
          <w:lang w:val="sr-Cyrl-CS"/>
        </w:rPr>
        <w:t xml:space="preserve"> као и ограничења расхода и издатака корисника буџетских средстава у складу са законом, приходним могућностима буџета, полазећи од њиховог извршења у овој години, као и планираних политика у наредном периоду.</w:t>
      </w:r>
    </w:p>
    <w:p w:rsidR="00794DFB" w:rsidRDefault="00F4313A" w:rsidP="00AE5403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94DFB">
        <w:rPr>
          <w:rFonts w:ascii="Times New Roman" w:hAnsi="Times New Roman" w:cs="Times New Roman"/>
          <w:b/>
          <w:sz w:val="24"/>
          <w:szCs w:val="24"/>
        </w:rPr>
        <w:t xml:space="preserve">Лимити расхода за буџетске кориснике општине </w:t>
      </w:r>
      <w:r w:rsidRPr="00794DFB">
        <w:rPr>
          <w:rFonts w:ascii="Times New Roman" w:hAnsi="Times New Roman" w:cs="Times New Roman"/>
          <w:b/>
          <w:sz w:val="24"/>
          <w:szCs w:val="24"/>
          <w:lang w:val="sr-Cyrl-RS"/>
        </w:rPr>
        <w:t>Мионица</w:t>
      </w:r>
      <w:r w:rsidRPr="00794DFB">
        <w:rPr>
          <w:rFonts w:ascii="Times New Roman" w:hAnsi="Times New Roman" w:cs="Times New Roman"/>
          <w:b/>
          <w:sz w:val="24"/>
          <w:szCs w:val="24"/>
        </w:rPr>
        <w:t xml:space="preserve"> за 2023. годину, дати су на бази сагледавања потребних средстава за рад и функционисање буџетских корисника, извршења расхода у 2021. години и првој половини 2022. године, усвојених финансијских планова за 2022.</w:t>
      </w:r>
      <w:r w:rsidRPr="00794DFB">
        <w:rPr>
          <w:b/>
        </w:rPr>
        <w:t xml:space="preserve"> годину, </w:t>
      </w:r>
      <w:r w:rsidRPr="00794DFB">
        <w:rPr>
          <w:rFonts w:ascii="Times New Roman" w:hAnsi="Times New Roman" w:cs="Times New Roman"/>
          <w:b/>
          <w:sz w:val="24"/>
          <w:szCs w:val="24"/>
        </w:rPr>
        <w:t>као и планираних политика у наредном периоду</w:t>
      </w:r>
      <w:r w:rsidRPr="00F4313A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B21E28" w:rsidRDefault="000B3AAC" w:rsidP="00AE54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3AAC">
        <w:rPr>
          <w:rFonts w:ascii="Times New Roman" w:hAnsi="Times New Roman" w:cs="Times New Roman"/>
          <w:sz w:val="24"/>
          <w:szCs w:val="24"/>
          <w:lang w:val="sr-Cyrl-RS"/>
        </w:rPr>
        <w:t>Средства за суфинансирање републичких пројеката планира</w:t>
      </w:r>
      <w:r w:rsidR="006E24DC">
        <w:rPr>
          <w:rFonts w:ascii="Times New Roman" w:hAnsi="Times New Roman" w:cs="Times New Roman"/>
          <w:sz w:val="24"/>
          <w:szCs w:val="24"/>
          <w:lang w:val="sr-Cyrl-RS"/>
        </w:rPr>
        <w:t xml:space="preserve">ју се </w:t>
      </w:r>
      <w:r w:rsidRPr="000B3AAC">
        <w:rPr>
          <w:rFonts w:ascii="Times New Roman" w:hAnsi="Times New Roman" w:cs="Times New Roman"/>
          <w:sz w:val="24"/>
          <w:szCs w:val="24"/>
          <w:lang w:val="sr-Cyrl-RS"/>
        </w:rPr>
        <w:t xml:space="preserve"> у потребном износу по </w:t>
      </w:r>
      <w:r w:rsidR="008019C6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закљученим </w:t>
      </w:r>
      <w:r w:rsidRPr="000B3AAC">
        <w:rPr>
          <w:rFonts w:ascii="Times New Roman" w:hAnsi="Times New Roman" w:cs="Times New Roman"/>
          <w:sz w:val="24"/>
          <w:szCs w:val="24"/>
          <w:lang w:val="sr-Cyrl-RS"/>
        </w:rPr>
        <w:t>уговорим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3B1F">
        <w:rPr>
          <w:rFonts w:ascii="Times New Roman" w:hAnsi="Times New Roman" w:cs="Times New Roman"/>
          <w:sz w:val="24"/>
          <w:szCs w:val="24"/>
          <w:lang w:val="sr-Cyrl-RS"/>
        </w:rPr>
        <w:t xml:space="preserve"> и конкурсима.</w:t>
      </w:r>
    </w:p>
    <w:p w:rsidR="00F4313A" w:rsidRPr="004D7D9F" w:rsidRDefault="00F4313A" w:rsidP="00AE54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13A" w:rsidRDefault="00F4313A" w:rsidP="00FD75F8">
      <w:pPr>
        <w:autoSpaceDE w:val="0"/>
        <w:autoSpaceDN w:val="0"/>
        <w:adjustRightInd w:val="0"/>
        <w:ind w:left="568"/>
        <w:rPr>
          <w:rFonts w:ascii="Times New Roman" w:hAnsi="Times New Roman" w:cs="Times New Roman"/>
          <w:sz w:val="24"/>
          <w:szCs w:val="24"/>
        </w:rPr>
      </w:pPr>
    </w:p>
    <w:p w:rsidR="00AA1EA0" w:rsidRPr="00F4313A" w:rsidRDefault="00F4313A" w:rsidP="00FD75F8">
      <w:pPr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313A">
        <w:rPr>
          <w:rFonts w:ascii="Times New Roman" w:hAnsi="Times New Roman" w:cs="Times New Roman"/>
          <w:sz w:val="24"/>
          <w:szCs w:val="24"/>
        </w:rPr>
        <w:lastRenderedPageBreak/>
        <w:t>Преглед лимита укупних расхода буџетских корисника у 2023. години из извора финансирања 01 – приходи из буџета</w:t>
      </w:r>
    </w:p>
    <w:p w:rsidR="00AA1EA0" w:rsidRDefault="000D54E0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636"/>
        <w:gridCol w:w="2341"/>
        <w:gridCol w:w="1716"/>
        <w:gridCol w:w="1716"/>
        <w:gridCol w:w="7"/>
        <w:gridCol w:w="1716"/>
      </w:tblGrid>
      <w:tr w:rsidR="00B605FF" w:rsidTr="006A169E">
        <w:tc>
          <w:tcPr>
            <w:tcW w:w="686" w:type="dxa"/>
          </w:tcPr>
          <w:p w:rsidR="00B605FF" w:rsidRPr="00B605FF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609" w:type="dxa"/>
          </w:tcPr>
          <w:p w:rsidR="001A3DF7" w:rsidRPr="00B605FF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Буџетски корисник</w:t>
            </w:r>
          </w:p>
        </w:tc>
        <w:tc>
          <w:tcPr>
            <w:tcW w:w="1610" w:type="dxa"/>
          </w:tcPr>
          <w:p w:rsidR="001A3DF7" w:rsidRPr="00B605FF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Лимит из буџета </w:t>
            </w:r>
            <w:r w:rsidR="001E0B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2023</w:t>
            </w:r>
            <w:r w:rsidR="00425F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10" w:type="dxa"/>
          </w:tcPr>
          <w:p w:rsidR="001A3DF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Лимит из буџета </w:t>
            </w:r>
            <w:r w:rsidR="001E0B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2024</w:t>
            </w:r>
            <w:r w:rsidR="00425F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17" w:type="dxa"/>
            <w:gridSpan w:val="2"/>
          </w:tcPr>
          <w:p w:rsidR="001A3DF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Лимит из буџета </w:t>
            </w:r>
            <w:r w:rsidR="001E0B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2025</w:t>
            </w:r>
            <w:r w:rsidR="00425F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DE231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Скупштина општине</w:t>
            </w:r>
          </w:p>
        </w:tc>
        <w:tc>
          <w:tcPr>
            <w:tcW w:w="1610" w:type="dxa"/>
          </w:tcPr>
          <w:p w:rsidR="00B605FF" w:rsidRPr="00B76E17" w:rsidRDefault="00E03B2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0378F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4.000.000,00</w:t>
            </w:r>
          </w:p>
        </w:tc>
        <w:tc>
          <w:tcPr>
            <w:tcW w:w="1610" w:type="dxa"/>
          </w:tcPr>
          <w:p w:rsidR="00B605FF" w:rsidRPr="00B76E17" w:rsidRDefault="00E03B2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0378F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4.500</w:t>
            </w:r>
            <w:r w:rsidR="00B76E1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.000,00</w:t>
            </w:r>
          </w:p>
        </w:tc>
        <w:tc>
          <w:tcPr>
            <w:tcW w:w="1617" w:type="dxa"/>
            <w:gridSpan w:val="2"/>
          </w:tcPr>
          <w:p w:rsidR="00B605FF" w:rsidRPr="00B76E17" w:rsidRDefault="00E03B2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B76E1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5.000.000,00</w:t>
            </w:r>
          </w:p>
        </w:tc>
      </w:tr>
      <w:tr w:rsidR="00DE231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општине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11.000.000,00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11.500.000,00</w:t>
            </w:r>
          </w:p>
        </w:tc>
        <w:tc>
          <w:tcPr>
            <w:tcW w:w="1617" w:type="dxa"/>
            <w:gridSpan w:val="2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12.000.000,00</w:t>
            </w:r>
          </w:p>
        </w:tc>
      </w:tr>
      <w:tr w:rsidR="00DE231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Општинско веће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3.500.000,00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4.000.000,00</w:t>
            </w:r>
          </w:p>
        </w:tc>
        <w:tc>
          <w:tcPr>
            <w:tcW w:w="1617" w:type="dxa"/>
            <w:gridSpan w:val="2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.500.000,00</w:t>
            </w:r>
          </w:p>
        </w:tc>
      </w:tr>
      <w:tr w:rsidR="00DE231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Општинско правобранилаштво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1.800.000,00</w:t>
            </w:r>
          </w:p>
        </w:tc>
        <w:tc>
          <w:tcPr>
            <w:tcW w:w="1610" w:type="dxa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2.100.000,00</w:t>
            </w:r>
          </w:p>
        </w:tc>
        <w:tc>
          <w:tcPr>
            <w:tcW w:w="1617" w:type="dxa"/>
            <w:gridSpan w:val="2"/>
          </w:tcPr>
          <w:p w:rsidR="00B605FF" w:rsidRPr="00B76E17" w:rsidRDefault="00B76E1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2.400.000,00</w:t>
            </w:r>
          </w:p>
        </w:tc>
      </w:tr>
      <w:tr w:rsidR="00DE231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Општинска управа</w:t>
            </w:r>
          </w:p>
        </w:tc>
        <w:tc>
          <w:tcPr>
            <w:tcW w:w="1610" w:type="dxa"/>
          </w:tcPr>
          <w:p w:rsidR="00B605FF" w:rsidRPr="00B76E17" w:rsidRDefault="006A169E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395</w:t>
            </w:r>
            <w:r w:rsidR="006A1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  <w:tc>
          <w:tcPr>
            <w:tcW w:w="1617" w:type="dxa"/>
            <w:gridSpan w:val="2"/>
          </w:tcPr>
          <w:p w:rsidR="00B605FF" w:rsidRPr="00B76E17" w:rsidRDefault="006A169E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вна школа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Ракић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</w:p>
        </w:tc>
        <w:tc>
          <w:tcPr>
            <w:tcW w:w="1610" w:type="dxa"/>
          </w:tcPr>
          <w:p w:rsidR="00B605FF" w:rsidRPr="00B76E17" w:rsidRDefault="00BE182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BE182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7" w:type="dxa"/>
            <w:gridSpan w:val="2"/>
          </w:tcPr>
          <w:p w:rsidR="00B605FF" w:rsidRPr="00B76E17" w:rsidRDefault="00BE1827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Основна школа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Живојин Мишић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BE18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BE18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.500.000,00</w:t>
            </w:r>
          </w:p>
        </w:tc>
        <w:tc>
          <w:tcPr>
            <w:tcW w:w="1617" w:type="dxa"/>
            <w:gridSpan w:val="2"/>
          </w:tcPr>
          <w:p w:rsidR="00B605FF" w:rsidRPr="00B76E17" w:rsidRDefault="008019C6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Музичка школа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Живорад Грбић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10" w:type="dxa"/>
          </w:tcPr>
          <w:p w:rsidR="00B605FF" w:rsidRPr="00B76E17" w:rsidRDefault="00E60901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720.000,00</w:t>
            </w:r>
          </w:p>
        </w:tc>
        <w:tc>
          <w:tcPr>
            <w:tcW w:w="1610" w:type="dxa"/>
          </w:tcPr>
          <w:p w:rsidR="00B605FF" w:rsidRPr="00B76E17" w:rsidRDefault="00E60901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750.000,00</w:t>
            </w:r>
          </w:p>
        </w:tc>
        <w:tc>
          <w:tcPr>
            <w:tcW w:w="1617" w:type="dxa"/>
            <w:gridSpan w:val="2"/>
          </w:tcPr>
          <w:p w:rsidR="00B605FF" w:rsidRPr="00B76E17" w:rsidRDefault="00E60901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Средња школа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Мионица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.500.000,00</w:t>
            </w:r>
          </w:p>
        </w:tc>
        <w:tc>
          <w:tcPr>
            <w:tcW w:w="1617" w:type="dxa"/>
            <w:gridSpan w:val="2"/>
          </w:tcPr>
          <w:p w:rsidR="00B605FF" w:rsidRPr="00B76E17" w:rsidRDefault="008019C6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609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Библиотека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 Глишић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10" w:type="dxa"/>
          </w:tcPr>
          <w:p w:rsidR="00B605FF" w:rsidRPr="00B76E17" w:rsidRDefault="00E60901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  <w:r w:rsidR="006A1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E60901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11.000.000,00</w:t>
            </w:r>
          </w:p>
        </w:tc>
        <w:tc>
          <w:tcPr>
            <w:tcW w:w="1617" w:type="dxa"/>
            <w:gridSpan w:val="2"/>
          </w:tcPr>
          <w:p w:rsidR="00B605FF" w:rsidRPr="00B76E17" w:rsidRDefault="00E60901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11.300.000,00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Предшколска установа 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</w:t>
            </w:r>
            <w:r w:rsidR="00425F57"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10" w:type="dxa"/>
          </w:tcPr>
          <w:p w:rsidR="00B605FF" w:rsidRDefault="00E60901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C6D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</w:t>
            </w:r>
            <w:r w:rsidR="004C6D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  <w:p w:rsidR="004C6DD0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7.000.000,00-извор 07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67.000.000,00</w:t>
            </w:r>
          </w:p>
        </w:tc>
        <w:tc>
          <w:tcPr>
            <w:tcW w:w="1617" w:type="dxa"/>
            <w:gridSpan w:val="2"/>
          </w:tcPr>
          <w:p w:rsidR="00B605FF" w:rsidRPr="00B76E17" w:rsidRDefault="004C6DD0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68.000.000,00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Културни центар Мионица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7" w:type="dxa"/>
            <w:gridSpan w:val="2"/>
          </w:tcPr>
          <w:p w:rsidR="00B605FF" w:rsidRPr="00B76E17" w:rsidRDefault="004C6DD0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образовање и развој Мионица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13.000.000,00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13.300.000,00</w:t>
            </w:r>
          </w:p>
        </w:tc>
        <w:tc>
          <w:tcPr>
            <w:tcW w:w="1617" w:type="dxa"/>
            <w:gridSpan w:val="2"/>
          </w:tcPr>
          <w:p w:rsidR="00B605FF" w:rsidRPr="00B76E17" w:rsidRDefault="004C6DD0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13.500.000,00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Туристичка организација Мионица</w:t>
            </w:r>
          </w:p>
        </w:tc>
        <w:tc>
          <w:tcPr>
            <w:tcW w:w="1610" w:type="dxa"/>
          </w:tcPr>
          <w:p w:rsidR="00B605FF" w:rsidRPr="00B76E17" w:rsidRDefault="004C6DD0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25.000.</w:t>
            </w:r>
            <w:r w:rsidR="001524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000,00</w:t>
            </w:r>
          </w:p>
        </w:tc>
        <w:tc>
          <w:tcPr>
            <w:tcW w:w="1610" w:type="dxa"/>
          </w:tcPr>
          <w:p w:rsidR="00B605FF" w:rsidRPr="00B76E17" w:rsidRDefault="001524FA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25.500.000,00</w:t>
            </w:r>
          </w:p>
        </w:tc>
        <w:tc>
          <w:tcPr>
            <w:tcW w:w="1617" w:type="dxa"/>
            <w:gridSpan w:val="2"/>
          </w:tcPr>
          <w:p w:rsidR="00B605FF" w:rsidRPr="00B76E17" w:rsidRDefault="001524FA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Спортски центар Мионица</w:t>
            </w:r>
          </w:p>
        </w:tc>
        <w:tc>
          <w:tcPr>
            <w:tcW w:w="1610" w:type="dxa"/>
          </w:tcPr>
          <w:p w:rsidR="00B605FF" w:rsidRPr="00B76E17" w:rsidRDefault="001524FA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1524FA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7" w:type="dxa"/>
            <w:gridSpan w:val="2"/>
          </w:tcPr>
          <w:p w:rsidR="00B605FF" w:rsidRPr="00B76E17" w:rsidRDefault="001524FA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  <w:r w:rsidR="008019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 здравља Мионица</w:t>
            </w:r>
          </w:p>
        </w:tc>
        <w:tc>
          <w:tcPr>
            <w:tcW w:w="1610" w:type="dxa"/>
          </w:tcPr>
          <w:p w:rsidR="00B605FF" w:rsidRPr="00B76E17" w:rsidRDefault="001F548E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D735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735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0" w:type="dxa"/>
          </w:tcPr>
          <w:p w:rsidR="00B605FF" w:rsidRPr="00B76E17" w:rsidRDefault="00D7352D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="001F5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617" w:type="dxa"/>
            <w:gridSpan w:val="2"/>
          </w:tcPr>
          <w:p w:rsidR="00B605FF" w:rsidRPr="00B76E17" w:rsidRDefault="00D7352D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="001F5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</w:p>
        </w:tc>
      </w:tr>
      <w:tr w:rsidR="00B605FF" w:rsidTr="006A169E">
        <w:tc>
          <w:tcPr>
            <w:tcW w:w="686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609" w:type="dxa"/>
          </w:tcPr>
          <w:p w:rsidR="00B605FF" w:rsidRPr="00B76E17" w:rsidRDefault="00B605FF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Црвени крст Мионица</w:t>
            </w:r>
          </w:p>
        </w:tc>
        <w:tc>
          <w:tcPr>
            <w:tcW w:w="1610" w:type="dxa"/>
          </w:tcPr>
          <w:p w:rsidR="00B605FF" w:rsidRPr="00B76E17" w:rsidRDefault="008019C6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D735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.000.000,00</w:t>
            </w:r>
          </w:p>
        </w:tc>
        <w:tc>
          <w:tcPr>
            <w:tcW w:w="1610" w:type="dxa"/>
          </w:tcPr>
          <w:p w:rsidR="00B605FF" w:rsidRPr="00B76E17" w:rsidRDefault="00D7352D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4.050.000,00</w:t>
            </w:r>
          </w:p>
        </w:tc>
        <w:tc>
          <w:tcPr>
            <w:tcW w:w="1617" w:type="dxa"/>
            <w:gridSpan w:val="2"/>
          </w:tcPr>
          <w:p w:rsidR="00B605FF" w:rsidRPr="00B76E17" w:rsidRDefault="00D7352D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4.100.000,00</w:t>
            </w:r>
          </w:p>
        </w:tc>
      </w:tr>
      <w:tr w:rsidR="00425F57" w:rsidTr="006A169E">
        <w:tc>
          <w:tcPr>
            <w:tcW w:w="686" w:type="dxa"/>
          </w:tcPr>
          <w:p w:rsidR="00425F57" w:rsidRPr="00B76E17" w:rsidRDefault="00425F5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76E1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609" w:type="dxa"/>
          </w:tcPr>
          <w:p w:rsidR="00425F57" w:rsidRPr="00B76E17" w:rsidRDefault="00425F57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E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Ракари</w:t>
            </w:r>
          </w:p>
        </w:tc>
        <w:tc>
          <w:tcPr>
            <w:tcW w:w="1610" w:type="dxa"/>
          </w:tcPr>
          <w:p w:rsidR="00425F57" w:rsidRPr="00B76E17" w:rsidRDefault="00D7352D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60.000,00</w:t>
            </w:r>
          </w:p>
        </w:tc>
        <w:tc>
          <w:tcPr>
            <w:tcW w:w="1610" w:type="dxa"/>
          </w:tcPr>
          <w:p w:rsidR="00425F57" w:rsidRPr="00B76E17" w:rsidRDefault="00D7352D" w:rsidP="00FD75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70.000,00</w:t>
            </w:r>
          </w:p>
        </w:tc>
        <w:tc>
          <w:tcPr>
            <w:tcW w:w="1617" w:type="dxa"/>
            <w:gridSpan w:val="2"/>
          </w:tcPr>
          <w:p w:rsidR="00425F57" w:rsidRPr="00B76E17" w:rsidRDefault="00D7352D" w:rsidP="00B605F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80.000,00</w:t>
            </w:r>
          </w:p>
        </w:tc>
      </w:tr>
      <w:tr w:rsidR="006A169E" w:rsidTr="006A169E">
        <w:tc>
          <w:tcPr>
            <w:tcW w:w="3295" w:type="dxa"/>
            <w:gridSpan w:val="2"/>
          </w:tcPr>
          <w:p w:rsidR="006A169E" w:rsidRPr="001F548E" w:rsidRDefault="006A169E" w:rsidP="00D7352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ab/>
              <w:t>УКУПНО:</w:t>
            </w:r>
          </w:p>
        </w:tc>
        <w:tc>
          <w:tcPr>
            <w:tcW w:w="1610" w:type="dxa"/>
          </w:tcPr>
          <w:p w:rsidR="006A169E" w:rsidRPr="001F548E" w:rsidRDefault="006E1D41" w:rsidP="00D7352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E03B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864A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DE23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80.000,00</w:t>
            </w:r>
          </w:p>
        </w:tc>
        <w:tc>
          <w:tcPr>
            <w:tcW w:w="1620" w:type="dxa"/>
            <w:gridSpan w:val="2"/>
          </w:tcPr>
          <w:p w:rsidR="006A169E" w:rsidRPr="001F548E" w:rsidRDefault="001F548E" w:rsidP="00D7352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E231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DE2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4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70.000,00</w:t>
            </w:r>
          </w:p>
        </w:tc>
        <w:tc>
          <w:tcPr>
            <w:tcW w:w="1607" w:type="dxa"/>
          </w:tcPr>
          <w:p w:rsidR="006A169E" w:rsidRPr="001F548E" w:rsidRDefault="00E03B20" w:rsidP="00D7352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E23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DE2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80.000,00</w:t>
            </w:r>
          </w:p>
        </w:tc>
      </w:tr>
    </w:tbl>
    <w:p w:rsidR="00F4313A" w:rsidRDefault="00F4313A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4313A" w:rsidRPr="001A3DF7" w:rsidRDefault="00F4313A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F4313A" w:rsidRDefault="00F4313A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4313A" w:rsidRDefault="00F4313A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4313A" w:rsidRDefault="00F4313A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6205E" w:rsidRDefault="00A6205E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6205E" w:rsidRDefault="00A6205E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264A0" w:rsidRPr="00794DFB" w:rsidRDefault="00794DFB" w:rsidP="00FD75F8">
      <w:pPr>
        <w:pStyle w:val="ListParagraph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264A0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Планирање масе средста</w:t>
      </w:r>
      <w:r w:rsidR="00A649D9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ва за плате запослених у 202</w:t>
      </w:r>
      <w:r w:rsidR="00A6205E" w:rsidRPr="00794DFB">
        <w:rPr>
          <w:rFonts w:ascii="Times New Roman" w:hAnsi="Times New Roman" w:cs="Times New Roman"/>
          <w:b/>
          <w:sz w:val="24"/>
          <w:szCs w:val="24"/>
        </w:rPr>
        <w:t>3</w:t>
      </w:r>
      <w:r w:rsidR="00A649D9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. г</w:t>
      </w:r>
      <w:r w:rsidR="00F264A0" w:rsidRPr="00794DFB">
        <w:rPr>
          <w:rFonts w:ascii="Times New Roman" w:hAnsi="Times New Roman" w:cs="Times New Roman"/>
          <w:b/>
          <w:sz w:val="24"/>
          <w:szCs w:val="24"/>
          <w:lang w:val="sr-Cyrl-CS"/>
        </w:rPr>
        <w:t>одини</w:t>
      </w:r>
    </w:p>
    <w:p w:rsidR="00DD28A8" w:rsidRDefault="00DD28A8" w:rsidP="00DD28A8">
      <w:pPr>
        <w:pStyle w:val="ListParagraph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D28A8" w:rsidRP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8A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1.</w:t>
      </w:r>
      <w:r w:rsidR="007D7A9F" w:rsidRPr="00DD28A8">
        <w:rPr>
          <w:rFonts w:ascii="Times New Roman" w:hAnsi="Times New Roman" w:cs="Times New Roman"/>
          <w:b/>
          <w:i/>
          <w:sz w:val="24"/>
          <w:szCs w:val="24"/>
        </w:rPr>
        <w:t>Законско уређење плата</w:t>
      </w:r>
    </w:p>
    <w:p w:rsidR="00DD28A8" w:rsidRPr="00DD28A8" w:rsidRDefault="00DD28A8" w:rsidP="00DD28A8">
      <w:pPr>
        <w:pStyle w:val="ListParagraph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DD28A8" w:rsidRP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</w:t>
      </w:r>
      <w:r w:rsidR="007D7A9F" w:rsidRPr="00DD28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A9F" w:rsidRPr="00DD28A8">
        <w:rPr>
          <w:rFonts w:ascii="Times New Roman" w:hAnsi="Times New Roman" w:cs="Times New Roman"/>
          <w:sz w:val="24"/>
          <w:szCs w:val="24"/>
        </w:rPr>
        <w:t>Плате запослених у јавном сектору уређене су Законом о систему плата запослених у јавном сектору („Службени гласник РС”, број 18/16, 108/16, 113/17, 95/18, 86/19</w:t>
      </w:r>
      <w:r w:rsidR="00115292">
        <w:rPr>
          <w:rFonts w:ascii="Times New Roman" w:hAnsi="Times New Roman" w:cs="Times New Roman"/>
          <w:sz w:val="24"/>
          <w:szCs w:val="24"/>
        </w:rPr>
        <w:t>,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 157/20</w:t>
      </w:r>
      <w:r w:rsidR="00BF03BE">
        <w:rPr>
          <w:rFonts w:ascii="Times New Roman" w:hAnsi="Times New Roman" w:cs="Times New Roman"/>
          <w:sz w:val="24"/>
          <w:szCs w:val="24"/>
        </w:rPr>
        <w:t xml:space="preserve"> 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>и 123/21</w:t>
      </w:r>
      <w:r w:rsidR="007D7A9F" w:rsidRPr="00DD28A8">
        <w:rPr>
          <w:rFonts w:ascii="Times New Roman" w:hAnsi="Times New Roman" w:cs="Times New Roman"/>
          <w:sz w:val="24"/>
          <w:szCs w:val="24"/>
        </w:rPr>
        <w:t>).</w:t>
      </w:r>
      <w:r w:rsidR="007D7A9F" w:rsidRPr="00DD28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7A9F" w:rsidRPr="00DD28A8">
        <w:rPr>
          <w:rFonts w:ascii="Times New Roman" w:hAnsi="Times New Roman" w:cs="Times New Roman"/>
          <w:sz w:val="24"/>
          <w:szCs w:val="24"/>
        </w:rPr>
        <w:t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 34/01, 62/06...113/17 - др.закон), Уредбом о коефицијентима за обрачун и исплату плата именованих и постављених лица и запослених у државним органима („Службени гласник РС”, бр. 44/08 - пречишћен текст, 2/12, 113/17-др.закон и 23/18, 95/18- др. закон, 86/19 – др.закон и 157/2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>0-др.закон и 123/21-др.закон</w:t>
      </w:r>
      <w:r w:rsidR="007D7A9F" w:rsidRPr="00DD28A8">
        <w:rPr>
          <w:rFonts w:ascii="Times New Roman" w:hAnsi="Times New Roman" w:cs="Times New Roman"/>
          <w:sz w:val="24"/>
          <w:szCs w:val="24"/>
        </w:rPr>
        <w:t>).</w:t>
      </w:r>
    </w:p>
    <w:p w:rsidR="00DD28A8" w:rsidRDefault="007D7A9F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8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8A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</w:t>
      </w:r>
      <w:r w:rsidR="00CB401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</w:t>
      </w:r>
      <w:r w:rsidR="00DD28A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DD28A8">
        <w:rPr>
          <w:rFonts w:ascii="Times New Roman" w:hAnsi="Times New Roman" w:cs="Times New Roman"/>
          <w:sz w:val="24"/>
          <w:szCs w:val="24"/>
        </w:rPr>
        <w:t xml:space="preserve">Приликом обрачуна и исплате плата за запослене у предшколским установама и другим јавним службама (установе културе) 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 xml:space="preserve">примењује се </w:t>
      </w:r>
      <w:r w:rsidRPr="00DD28A8">
        <w:rPr>
          <w:rFonts w:ascii="Times New Roman" w:hAnsi="Times New Roman" w:cs="Times New Roman"/>
          <w:sz w:val="24"/>
          <w:szCs w:val="24"/>
        </w:rPr>
        <w:t>Уредба о коефицијентима за обрачун и исплату плата запослених у јавним службама („Службени гласник РС”, бр. 44/01... 157/20-др.закон, 19/21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D28A8">
        <w:rPr>
          <w:rFonts w:ascii="Times New Roman" w:hAnsi="Times New Roman" w:cs="Times New Roman"/>
          <w:sz w:val="24"/>
          <w:szCs w:val="24"/>
        </w:rPr>
        <w:t xml:space="preserve"> 48/21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 xml:space="preserve"> и 123/21-др.закон</w:t>
      </w:r>
      <w:r w:rsidRPr="00DD28A8">
        <w:rPr>
          <w:rFonts w:ascii="Times New Roman" w:hAnsi="Times New Roman" w:cs="Times New Roman"/>
          <w:sz w:val="24"/>
          <w:szCs w:val="24"/>
        </w:rPr>
        <w:t>).</w:t>
      </w:r>
    </w:p>
    <w:p w:rsid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28A8" w:rsidRDefault="007D7A9F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8A8">
        <w:rPr>
          <w:rFonts w:ascii="Times New Roman" w:hAnsi="Times New Roman" w:cs="Times New Roman"/>
          <w:b/>
          <w:i/>
          <w:sz w:val="24"/>
          <w:szCs w:val="24"/>
        </w:rPr>
        <w:t>2. Законом уређена основица за обрачун плата</w:t>
      </w:r>
    </w:p>
    <w:p w:rsid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8A8" w:rsidRP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</w:t>
      </w:r>
      <w:r w:rsidR="007D7A9F" w:rsidRPr="00DD28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01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Приликом обрачуна и исплате плата запослених код корисника буџета локалне власти примењују се основице према закључцима Владе Републике Србије, до почетка примене одредаба Закона о систему плата запослених у јавном сектору. </w:t>
      </w:r>
    </w:p>
    <w:p w:rsid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8A8" w:rsidRDefault="007D7A9F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8A8">
        <w:rPr>
          <w:rFonts w:ascii="Times New Roman" w:hAnsi="Times New Roman" w:cs="Times New Roman"/>
          <w:b/>
          <w:i/>
          <w:sz w:val="24"/>
          <w:szCs w:val="24"/>
        </w:rPr>
        <w:t>3. Планирање масе средстава за плате у одлукама о буџету за 202</w:t>
      </w:r>
      <w:r w:rsidR="00794DF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Pr="00DD28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D28A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</w:t>
      </w:r>
      <w:r w:rsidRPr="00DD28A8">
        <w:rPr>
          <w:rFonts w:ascii="Times New Roman" w:hAnsi="Times New Roman" w:cs="Times New Roman"/>
          <w:b/>
          <w:i/>
          <w:sz w:val="24"/>
          <w:szCs w:val="24"/>
        </w:rPr>
        <w:t>одину</w:t>
      </w:r>
    </w:p>
    <w:p w:rsidR="00DD28A8" w:rsidRDefault="00DD28A8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8A8" w:rsidRDefault="00CB4013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7A9F" w:rsidRPr="00DD28A8">
        <w:rPr>
          <w:rFonts w:ascii="Times New Roman" w:hAnsi="Times New Roman" w:cs="Times New Roman"/>
          <w:sz w:val="24"/>
          <w:szCs w:val="24"/>
        </w:rPr>
        <w:t>Средства за плате задржана су на нивоу средстава планираних Законом о буџету Републике Србије за 202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годину, а евентуална корекција износа планираних средстава за плате извршиће се у току буџетске процедуре на основу ревидиране Фискалне </w:t>
      </w:r>
      <w:proofErr w:type="gramStart"/>
      <w:r w:rsidR="007D7A9F" w:rsidRPr="00DD28A8">
        <w:rPr>
          <w:rFonts w:ascii="Times New Roman" w:hAnsi="Times New Roman" w:cs="Times New Roman"/>
          <w:sz w:val="24"/>
          <w:szCs w:val="24"/>
        </w:rPr>
        <w:t>стратегије,  измена</w:t>
      </w:r>
      <w:proofErr w:type="gramEnd"/>
      <w:r w:rsidR="007D7A9F" w:rsidRPr="00DD28A8">
        <w:rPr>
          <w:rFonts w:ascii="Times New Roman" w:hAnsi="Times New Roman" w:cs="Times New Roman"/>
          <w:sz w:val="24"/>
          <w:szCs w:val="24"/>
        </w:rPr>
        <w:t xml:space="preserve"> и допуна Закона о буџетском систему и процене потребних средстава за расходе за запослене за 202</w:t>
      </w:r>
      <w:r w:rsidR="00BF03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DD28A8" w:rsidRDefault="00CB4013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7D7A9F" w:rsidRPr="00CB4013">
        <w:rPr>
          <w:rFonts w:ascii="Times New Roman" w:hAnsi="Times New Roman" w:cs="Times New Roman"/>
          <w:b/>
          <w:sz w:val="24"/>
          <w:szCs w:val="24"/>
        </w:rPr>
        <w:t>Средства за плате се планирају на бази броја запослених који раде, а не систематизованог броја запослених</w:t>
      </w:r>
      <w:r w:rsidR="007D7A9F" w:rsidRPr="00DD28A8">
        <w:rPr>
          <w:rFonts w:ascii="Times New Roman" w:hAnsi="Times New Roman" w:cs="Times New Roman"/>
          <w:sz w:val="24"/>
          <w:szCs w:val="24"/>
        </w:rPr>
        <w:t>.</w:t>
      </w:r>
    </w:p>
    <w:p w:rsidR="00CF228A" w:rsidRDefault="007D7A9F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8A8">
        <w:rPr>
          <w:rFonts w:ascii="Times New Roman" w:hAnsi="Times New Roman" w:cs="Times New Roman"/>
          <w:sz w:val="24"/>
          <w:szCs w:val="24"/>
        </w:rPr>
        <w:t xml:space="preserve"> 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DD28A8">
        <w:rPr>
          <w:rFonts w:ascii="Times New Roman" w:hAnsi="Times New Roman" w:cs="Times New Roman"/>
          <w:sz w:val="24"/>
          <w:szCs w:val="24"/>
        </w:rPr>
        <w:t>Уколико локална власт не планира у својим одлукама о буџету за 202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D28A8">
        <w:rPr>
          <w:rFonts w:ascii="Times New Roman" w:hAnsi="Times New Roman" w:cs="Times New Roman"/>
          <w:sz w:val="24"/>
          <w:szCs w:val="24"/>
        </w:rPr>
        <w:t>. годину и не извршава укупна средства за обрачун и исплату плата на начин како је наведено, министар надлежан за послове финансија може привремено обуставити пренос трансферних средстава из буџета Републике Србије, односно припадајућег дела пореза на зараде и пореза на добит правних лица, док се висина средстава за плате не усклади са наведеним ограничењем.</w:t>
      </w:r>
    </w:p>
    <w:p w:rsidR="00CF228A" w:rsidRDefault="00CF228A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 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економским класификацијама 413-416 у 202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години. </w:t>
      </w:r>
    </w:p>
    <w:p w:rsidR="00CF228A" w:rsidRDefault="00CF228A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7D7A9F" w:rsidRPr="00DD28A8">
        <w:rPr>
          <w:rFonts w:ascii="Times New Roman" w:hAnsi="Times New Roman" w:cs="Times New Roman"/>
          <w:sz w:val="24"/>
          <w:szCs w:val="24"/>
        </w:rPr>
        <w:t>Средства која су била планирана за новозапошљавање у 202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години не могу се користити за повећање плата запослених који већ раде. </w:t>
      </w:r>
    </w:p>
    <w:p w:rsidR="00CF228A" w:rsidRDefault="00CF228A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D7A9F" w:rsidRPr="00DD28A8">
        <w:rPr>
          <w:rFonts w:ascii="Times New Roman" w:hAnsi="Times New Roman" w:cs="Times New Roman"/>
          <w:sz w:val="24"/>
          <w:szCs w:val="24"/>
        </w:rPr>
        <w:t>Као и у претходним годинама, и у буџетској 202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години не треба планирати обрачун и исплату поклона у новцу, божићних, годишњих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локалне власти, као и друга примања из члана 120. став 1. тачка 4. Закона о раду („Службени гласник РС”, бр. 24/05, 61/05, 54/09, </w:t>
      </w:r>
      <w:r w:rsidR="007D7A9F" w:rsidRPr="00DD28A8">
        <w:rPr>
          <w:rFonts w:ascii="Times New Roman" w:hAnsi="Times New Roman" w:cs="Times New Roman"/>
          <w:sz w:val="24"/>
          <w:szCs w:val="24"/>
        </w:rPr>
        <w:lastRenderedPageBreak/>
        <w:t>32/13, 75/14, 13/17- УС, 113/17 и 95/18-аутентично тумачење) осим јубиларних награда за запослене који су то право стекли у 202</w:t>
      </w:r>
      <w:r w:rsidR="00CB40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години и новчаних честитки за децу запослених. </w:t>
      </w:r>
    </w:p>
    <w:p w:rsidR="008006FF" w:rsidRDefault="00CF228A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D7A9F" w:rsidRPr="00DD28A8">
        <w:rPr>
          <w:rFonts w:ascii="Times New Roman" w:hAnsi="Times New Roman" w:cs="Times New Roman"/>
          <w:sz w:val="24"/>
          <w:szCs w:val="24"/>
        </w:rPr>
        <w:t>Такође, у 202</w:t>
      </w:r>
      <w:r w:rsidR="00A42F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7A9F" w:rsidRPr="00DD28A8">
        <w:rPr>
          <w:rFonts w:ascii="Times New Roman" w:hAnsi="Times New Roman" w:cs="Times New Roman"/>
          <w:sz w:val="24"/>
          <w:szCs w:val="24"/>
        </w:rPr>
        <w:t xml:space="preserve">. години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A02142" w:rsidRDefault="008006FF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D7A9F" w:rsidRPr="00DD28A8">
        <w:rPr>
          <w:rFonts w:ascii="Times New Roman" w:hAnsi="Times New Roman" w:cs="Times New Roman"/>
          <w:sz w:val="24"/>
          <w:szCs w:val="24"/>
        </w:rPr>
        <w:t>Остале економске класификације у оквиру групе 41 - Расходи за запослене, планирати крајње рестриктивно.</w:t>
      </w:r>
    </w:p>
    <w:p w:rsidR="00CE14BE" w:rsidRPr="00DD28A8" w:rsidRDefault="00CE14BE" w:rsidP="00DD2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CE14BE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4BE">
        <w:rPr>
          <w:rFonts w:ascii="Times New Roman" w:hAnsi="Times New Roman" w:cs="Times New Roman"/>
          <w:b/>
          <w:i/>
          <w:sz w:val="24"/>
          <w:szCs w:val="24"/>
        </w:rPr>
        <w:t>ТАБЕЛАРНИ ПРИКАЗ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42">
        <w:rPr>
          <w:rFonts w:ascii="Times New Roman" w:hAnsi="Times New Roman" w:cs="Times New Roman"/>
          <w:b/>
          <w:sz w:val="24"/>
          <w:szCs w:val="24"/>
        </w:rPr>
        <w:t>Група конта 41 – Расходи за запослене</w:t>
      </w:r>
    </w:p>
    <w:p w:rsidR="00A02142" w:rsidRP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02142" w:rsidRPr="0073678B" w:rsidRDefault="00FD75F8" w:rsidP="00FD75F8">
      <w:pPr>
        <w:pStyle w:val="ListParagraph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окална власт је у обавези да у О</w:t>
      </w:r>
      <w:r w:rsidR="00A02142" w:rsidRPr="00A02142">
        <w:rPr>
          <w:rFonts w:ascii="Times New Roman" w:hAnsi="Times New Roman" w:cs="Times New Roman"/>
          <w:sz w:val="24"/>
          <w:szCs w:val="24"/>
        </w:rPr>
        <w:t>длуци о буџету за 202</w:t>
      </w:r>
      <w:r w:rsidR="00A42F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02142" w:rsidRPr="00A02142">
        <w:rPr>
          <w:rFonts w:ascii="Times New Roman" w:hAnsi="Times New Roman" w:cs="Times New Roman"/>
          <w:sz w:val="24"/>
          <w:szCs w:val="24"/>
        </w:rPr>
        <w:t>. годину, у делу буџета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FD75F8">
        <w:rPr>
          <w:rFonts w:ascii="Times New Roman" w:hAnsi="Times New Roman" w:cs="Times New Roman"/>
          <w:sz w:val="24"/>
          <w:szCs w:val="24"/>
        </w:rPr>
        <w:t xml:space="preserve">који садржи норме битне за извршење буџета, у посебној </w:t>
      </w:r>
      <w:r w:rsidR="00A02142" w:rsidRPr="0073678B">
        <w:rPr>
          <w:rFonts w:ascii="Times New Roman" w:hAnsi="Times New Roman" w:cs="Times New Roman"/>
          <w:sz w:val="24"/>
          <w:szCs w:val="24"/>
        </w:rPr>
        <w:t>одредби искаже број запослених на неодређено и одређено време, за које су у буџету локалне власти обезбеђена средства.</w:t>
      </w:r>
    </w:p>
    <w:p w:rsidR="00A02142" w:rsidRPr="0073678B" w:rsidRDefault="00A02142" w:rsidP="00FD75F8">
      <w:pPr>
        <w:pStyle w:val="ListParagraph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FD7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7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78B">
        <w:rPr>
          <w:rFonts w:ascii="Times New Roman" w:hAnsi="Times New Roman" w:cs="Times New Roman"/>
          <w:sz w:val="24"/>
          <w:szCs w:val="24"/>
        </w:rPr>
        <w:t>Уколико се изменама или допунама Одлуке о буџету локалне власти мењају</w:t>
      </w:r>
    </w:p>
    <w:p w:rsidR="00A02142" w:rsidRPr="0073678B" w:rsidRDefault="00A02142" w:rsidP="00FD75F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73678B">
        <w:rPr>
          <w:rFonts w:ascii="Times New Roman" w:hAnsi="Times New Roman" w:cs="Times New Roman"/>
          <w:sz w:val="24"/>
          <w:szCs w:val="24"/>
        </w:rPr>
        <w:t>подаци достављени у Прилогу 1, неопходно је доставити измењене (допуњене) табеле са образложењем и документацијом која потврђује да је било неопходно извршити одређене промене у односу на усвојену Одлуку о буџету.</w:t>
      </w:r>
    </w:p>
    <w:p w:rsidR="00A02142" w:rsidRPr="00A02142" w:rsidRDefault="00FD75F8" w:rsidP="00FD75F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Табела 1. је табела са податком о броју запослених у 202</w:t>
      </w:r>
      <w:r w:rsidR="0073678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2142" w:rsidRPr="00A02142">
        <w:rPr>
          <w:rFonts w:ascii="Times New Roman" w:hAnsi="Times New Roman" w:cs="Times New Roman"/>
          <w:sz w:val="24"/>
          <w:szCs w:val="24"/>
        </w:rPr>
        <w:t>. години и планираним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бројем запослених у 202</w:t>
      </w:r>
      <w:r w:rsidR="0073678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02142" w:rsidRPr="00A02142">
        <w:rPr>
          <w:rFonts w:ascii="Times New Roman" w:hAnsi="Times New Roman" w:cs="Times New Roman"/>
          <w:sz w:val="24"/>
          <w:szCs w:val="24"/>
        </w:rPr>
        <w:t>. години, по корисницима буџета локалне власти, на економским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класификацијама 411 и 412, по изворима финансирања.</w:t>
      </w:r>
    </w:p>
    <w:p w:rsidR="00A02142" w:rsidRPr="00FD75F8" w:rsidRDefault="00FD75F8" w:rsidP="00FD7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142" w:rsidRPr="00FD75F8">
        <w:rPr>
          <w:rFonts w:ascii="Times New Roman" w:hAnsi="Times New Roman" w:cs="Times New Roman"/>
          <w:sz w:val="24"/>
          <w:szCs w:val="24"/>
        </w:rPr>
        <w:t>Табела Т1 се аутоматски попуњава подацима из табела Т1.1, Т1.2 и Т1.3 које је потребно попунити.</w:t>
      </w:r>
    </w:p>
    <w:p w:rsidR="00A02142" w:rsidRPr="00FD75F8" w:rsidRDefault="00A02142" w:rsidP="00FD75F8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75F8">
        <w:rPr>
          <w:rFonts w:ascii="Times New Roman" w:hAnsi="Times New Roman" w:cs="Times New Roman"/>
          <w:sz w:val="24"/>
          <w:szCs w:val="24"/>
        </w:rPr>
        <w:t>Т1 - Укупан број запослених чије се плате финансирају из свих извора на економским 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Т1.1 - Број запослених чије се плате финансирају из извора 01 на економским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Т1.2 - Број запослених чије се плате финансирају из извора 04 на економским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класификацијама 411 и 412;</w:t>
      </w:r>
    </w:p>
    <w:p w:rsidR="00A02142" w:rsidRPr="00A02142" w:rsidRDefault="00A02142" w:rsidP="00A0214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Т1.3 - Број запослених чије се плате финансирају из извора 05-08 на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2142">
        <w:rPr>
          <w:rFonts w:ascii="Times New Roman" w:hAnsi="Times New Roman" w:cs="Times New Roman"/>
          <w:sz w:val="24"/>
          <w:szCs w:val="24"/>
        </w:rPr>
        <w:t>економским класификацијама 411 и 412.</w:t>
      </w:r>
    </w:p>
    <w:p w:rsidR="00A02142" w:rsidRPr="00FD75F8" w:rsidRDefault="00FD75F8" w:rsidP="006A1BDE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142" w:rsidRPr="00FD75F8">
        <w:rPr>
          <w:rFonts w:ascii="Times New Roman" w:hAnsi="Times New Roman" w:cs="Times New Roman"/>
          <w:sz w:val="24"/>
          <w:szCs w:val="24"/>
        </w:rPr>
        <w:t>Табеле Т1.1, Т1.2 и Т1.3 попуњавају се тако што се попуњавају колоне ''број</w:t>
      </w:r>
    </w:p>
    <w:p w:rsidR="00A02142" w:rsidRPr="00A02142" w:rsidRDefault="00A02142" w:rsidP="006A1BDE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запослених на неодређено време'' и ''број запослених на одређено време'' по корисницима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то само у редовима са празним ћелијама. Осенчене ћелије се не попуњавају.</w:t>
      </w:r>
    </w:p>
    <w:p w:rsidR="00A02142" w:rsidRDefault="00A02142" w:rsidP="00A02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02142" w:rsidRPr="00A02142" w:rsidRDefault="006A1BDE" w:rsidP="00A02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142" w:rsidRPr="00A02142">
        <w:rPr>
          <w:rFonts w:ascii="Times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Табелу 2 (у</w:t>
      </w:r>
    </w:p>
    <w:p w:rsidR="00A02142" w:rsidRPr="00A02142" w:rsidRDefault="006A1BDE" w:rsidP="006A1BDE">
      <w:pPr>
        <w:pStyle w:val="ListParagraph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Прилогу 1. Упутства), у којој је неопходно попунити, упоредо по корисницима буџета</w:t>
      </w:r>
      <w:r w:rsidR="00A02142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A02142">
        <w:rPr>
          <w:rFonts w:ascii="Times New Roman" w:hAnsi="Times New Roman" w:cs="Times New Roman"/>
          <w:sz w:val="24"/>
          <w:szCs w:val="24"/>
        </w:rPr>
        <w:t>локалне власти, на економским класификацијама 411 и 412, по изворима, следеће:</w:t>
      </w:r>
    </w:p>
    <w:p w:rsidR="00A02142" w:rsidRPr="006A1BDE" w:rsidRDefault="00A02142" w:rsidP="006A1BDE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BDE">
        <w:rPr>
          <w:rFonts w:ascii="Times New Roman" w:hAnsi="Times New Roman" w:cs="Times New Roman"/>
          <w:sz w:val="24"/>
          <w:szCs w:val="24"/>
        </w:rPr>
        <w:t>маса средства за плате исплаћена за период I-X у 202</w:t>
      </w:r>
      <w:r w:rsidR="00A42F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A1BDE">
        <w:rPr>
          <w:rFonts w:ascii="Times New Roman" w:hAnsi="Times New Roman" w:cs="Times New Roman"/>
          <w:sz w:val="24"/>
          <w:szCs w:val="24"/>
        </w:rPr>
        <w:t>. години и планирана пројекција за период XI-XII у 202</w:t>
      </w:r>
      <w:r w:rsidR="00A42F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A1BDE">
        <w:rPr>
          <w:rFonts w:ascii="Times New Roman" w:hAnsi="Times New Roman" w:cs="Times New Roman"/>
          <w:sz w:val="24"/>
          <w:szCs w:val="24"/>
        </w:rPr>
        <w:t>. години у складу са одредбама члана 4</w:t>
      </w:r>
      <w:r w:rsidR="0073678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A1BDE">
        <w:rPr>
          <w:rFonts w:ascii="Times New Roman" w:hAnsi="Times New Roman" w:cs="Times New Roman"/>
          <w:sz w:val="24"/>
          <w:szCs w:val="24"/>
        </w:rPr>
        <w:t>. Закона о буџету Републике Србије за 202</w:t>
      </w:r>
      <w:r w:rsidR="00A42F6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A1BDE">
        <w:rPr>
          <w:rFonts w:ascii="Times New Roman" w:hAnsi="Times New Roman" w:cs="Times New Roman"/>
          <w:sz w:val="24"/>
          <w:szCs w:val="24"/>
        </w:rPr>
        <w:t>. годину и</w:t>
      </w:r>
    </w:p>
    <w:p w:rsidR="00A02142" w:rsidRPr="00A02142" w:rsidRDefault="00A02142" w:rsidP="00A0214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планирана средства за плате за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02142">
        <w:rPr>
          <w:rFonts w:ascii="Times New Roman" w:hAnsi="Times New Roman" w:cs="Times New Roman"/>
          <w:sz w:val="24"/>
          <w:szCs w:val="24"/>
        </w:rPr>
        <w:t>. годину.</w:t>
      </w:r>
    </w:p>
    <w:p w:rsidR="00A02142" w:rsidRPr="00A02142" w:rsidRDefault="00A02142" w:rsidP="006A1BDE">
      <w:pPr>
        <w:pStyle w:val="ListParagraph"/>
        <w:autoSpaceDE w:val="0"/>
        <w:autoSpaceDN w:val="0"/>
        <w:adjustRightInd w:val="0"/>
        <w:ind w:left="142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02142">
        <w:rPr>
          <w:rFonts w:ascii="Times New Roman" w:hAnsi="Times New Roman" w:cs="Times New Roman"/>
          <w:sz w:val="24"/>
          <w:szCs w:val="24"/>
        </w:rPr>
        <w:t>Приликом попуњавања Табеле 2. попуњавају се само колоне са масом средстава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за плате по корисницима и изворима, тако што се уноси износ масе средстава само у редовима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са празним ћелијама, а осенчене ћелије се не попуњавају. Колоне са бројем запослених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2">
        <w:rPr>
          <w:rFonts w:ascii="Times New Roman" w:hAnsi="Times New Roman" w:cs="Times New Roman"/>
          <w:sz w:val="24"/>
          <w:szCs w:val="24"/>
        </w:rPr>
        <w:t>аутоматски попуњавају подацима из табеле Т1.</w:t>
      </w:r>
    </w:p>
    <w:p w:rsidR="00A02142" w:rsidRPr="006A1BDE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02142" w:rsidRPr="006A1BDE">
        <w:rPr>
          <w:rFonts w:ascii="Times New Roman" w:hAnsi="Times New Roman" w:cs="Times New Roman"/>
          <w:sz w:val="24"/>
          <w:szCs w:val="24"/>
        </w:rPr>
        <w:t>Табела 3. је табела са бројем запослених чије се плате исплаћују из буџета са осталих економских класификација.</w:t>
      </w:r>
    </w:p>
    <w:p w:rsidR="00A02142" w:rsidRPr="00F76A5B" w:rsidRDefault="006A1BDE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142" w:rsidRPr="006A1BDE">
        <w:rPr>
          <w:rFonts w:ascii="Times New Roman" w:hAnsi="Times New Roman" w:cs="Times New Roman"/>
          <w:sz w:val="24"/>
          <w:szCs w:val="24"/>
        </w:rPr>
        <w:t>Табелa 4. је табела која приказује планиран</w:t>
      </w:r>
      <w:r>
        <w:rPr>
          <w:rFonts w:ascii="Times New Roman" w:hAnsi="Times New Roman" w:cs="Times New Roman"/>
          <w:sz w:val="24"/>
          <w:szCs w:val="24"/>
        </w:rPr>
        <w:t>а и исплаћена средства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A02142" w:rsidRPr="006A1BDE">
        <w:rPr>
          <w:rFonts w:ascii="Times New Roman" w:hAnsi="Times New Roman" w:cs="Times New Roman"/>
          <w:sz w:val="24"/>
          <w:szCs w:val="24"/>
        </w:rPr>
        <w:t xml:space="preserve">одини </w:t>
      </w:r>
      <w:r w:rsidR="00F76A5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="00F76A5B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средстава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76A5B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7334AB">
        <w:rPr>
          <w:rFonts w:ascii="Times New Roman" w:hAnsi="Times New Roman" w:cs="Times New Roman"/>
          <w:sz w:val="24"/>
          <w:szCs w:val="24"/>
        </w:rPr>
        <w:t xml:space="preserve"> </w:t>
      </w:r>
      <w:r w:rsidR="00A02142" w:rsidRPr="006A1BDE">
        <w:rPr>
          <w:rFonts w:ascii="Times New Roman" w:hAnsi="Times New Roman" w:cs="Times New Roman"/>
          <w:sz w:val="24"/>
          <w:szCs w:val="24"/>
        </w:rPr>
        <w:t xml:space="preserve">на економској класификацији </w:t>
      </w:r>
      <w:r w:rsidR="00F76A5B">
        <w:rPr>
          <w:rFonts w:ascii="Times New Roman" w:hAnsi="Times New Roman" w:cs="Times New Roman"/>
          <w:sz w:val="24"/>
          <w:szCs w:val="24"/>
          <w:lang w:val="sr-Cyrl-RS"/>
        </w:rPr>
        <w:t xml:space="preserve">416, као и пратећи број запослених по овом основу. Напомињемо да се у овој табели приказују планирана/исплаћена средства за јубиларне награде и/или по другом основу, при чему је потребно у табели нагласити који је основ у </w:t>
      </w:r>
      <w:r w:rsidR="00653DC6">
        <w:rPr>
          <w:rFonts w:ascii="Times New Roman" w:hAnsi="Times New Roman" w:cs="Times New Roman"/>
          <w:sz w:val="24"/>
          <w:szCs w:val="24"/>
          <w:lang w:val="sr-Cyrl-RS"/>
        </w:rPr>
        <w:t>питању</w:t>
      </w:r>
      <w:r w:rsidR="004523DC">
        <w:rPr>
          <w:rFonts w:ascii="Times New Roman" w:hAnsi="Times New Roman" w:cs="Times New Roman"/>
          <w:sz w:val="24"/>
          <w:szCs w:val="24"/>
          <w:lang w:val="sr-Cyrl-RS"/>
        </w:rPr>
        <w:t>(награде и сл.).</w:t>
      </w:r>
    </w:p>
    <w:p w:rsidR="00684391" w:rsidRPr="007334AB" w:rsidRDefault="00DA5BC6" w:rsidP="00733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33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4AB" w:rsidRPr="007334AB">
        <w:rPr>
          <w:rFonts w:ascii="Times New Roman" w:hAnsi="Times New Roman" w:cs="Times New Roman"/>
          <w:sz w:val="24"/>
          <w:szCs w:val="24"/>
        </w:rPr>
        <w:t>Табела 5. односи се на преглед броја запослених и средства за плате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334AB" w:rsidRPr="007334AB">
        <w:rPr>
          <w:rFonts w:ascii="Times New Roman" w:hAnsi="Times New Roman" w:cs="Times New Roman"/>
          <w:sz w:val="24"/>
          <w:szCs w:val="24"/>
        </w:rPr>
        <w:t>. години по звањима и занимањима у органима јединица локалне власти, а у којој је потребно унети коефицијенте, додатке за минули рад, додатке за прековремени рад и приправност и број запослених у органима и организацијама локалне власти</w:t>
      </w:r>
      <w:r w:rsidR="007334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5BC6" w:rsidRPr="00DA5BC6" w:rsidRDefault="00DA5BC6" w:rsidP="00DA5B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DA5BC6">
        <w:rPr>
          <w:rFonts w:ascii="Times New Roman" w:hAnsi="Times New Roman" w:cs="Times New Roman"/>
          <w:sz w:val="24"/>
          <w:szCs w:val="24"/>
        </w:rPr>
        <w:t>Табела 6. односи се на преглед исплаћених средстава на економским класификацијама 413-416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A5BC6">
        <w:rPr>
          <w:rFonts w:ascii="Times New Roman" w:hAnsi="Times New Roman" w:cs="Times New Roman"/>
          <w:sz w:val="24"/>
          <w:szCs w:val="24"/>
        </w:rPr>
        <w:t>. години, као и планираним средствима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5BC6">
        <w:rPr>
          <w:rFonts w:ascii="Times New Roman" w:hAnsi="Times New Roman" w:cs="Times New Roman"/>
          <w:sz w:val="24"/>
          <w:szCs w:val="24"/>
        </w:rPr>
        <w:t xml:space="preserve">. години. </w:t>
      </w:r>
    </w:p>
    <w:p w:rsidR="00684391" w:rsidRPr="006A1BDE" w:rsidRDefault="00DA5BC6" w:rsidP="00DA5B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DA5BC6">
        <w:rPr>
          <w:rFonts w:ascii="Times New Roman" w:hAnsi="Times New Roman" w:cs="Times New Roman"/>
          <w:sz w:val="24"/>
          <w:szCs w:val="24"/>
        </w:rPr>
        <w:t xml:space="preserve">Табела 7. односи се на преглед броја запослених на неодређено и одређено време у 2022. години, по кварталима. </w:t>
      </w:r>
    </w:p>
    <w:p w:rsidR="00684391" w:rsidRPr="000F50EF" w:rsidRDefault="004D7D9F" w:rsidP="004D7D9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4391" w:rsidRPr="00684391">
        <w:rPr>
          <w:rFonts w:ascii="Times New Roman" w:hAnsi="Times New Roman" w:cs="Times New Roman"/>
          <w:sz w:val="24"/>
          <w:szCs w:val="24"/>
        </w:rPr>
        <w:t>Штампани формат табела Прилога 1- Преглед броја запослених и средстава за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684391" w:rsidRPr="000F50EF">
        <w:rPr>
          <w:rFonts w:ascii="Times New Roman" w:hAnsi="Times New Roman" w:cs="Times New Roman"/>
          <w:sz w:val="24"/>
          <w:szCs w:val="24"/>
        </w:rPr>
        <w:t>плате, треба имати печат и потпис одговорног лица као и број телефона.</w:t>
      </w:r>
    </w:p>
    <w:p w:rsidR="00A02142" w:rsidRDefault="00A02142" w:rsidP="00684391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6A1BDE" w:rsidRDefault="000F50EF" w:rsidP="006A1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DE">
        <w:rPr>
          <w:rFonts w:ascii="Times New Roman" w:hAnsi="Times New Roman" w:cs="Times New Roman"/>
          <w:b/>
          <w:sz w:val="24"/>
          <w:szCs w:val="24"/>
        </w:rPr>
        <w:t>Група конта 42 - Коришћење услуга и роба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0F50EF" w:rsidP="000C15D3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У оквиру групе конта која се односе на куповину роба и услуга, потребно је реално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планирати средства за ове намене у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F50EF">
        <w:rPr>
          <w:rFonts w:ascii="Times New Roman" w:hAnsi="Times New Roman" w:cs="Times New Roman"/>
          <w:sz w:val="24"/>
          <w:szCs w:val="24"/>
        </w:rPr>
        <w:t>. години, водећи рачуна да се не угрози извршавање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сталних трошкова (421 - Стални трошкови).</w:t>
      </w:r>
    </w:p>
    <w:p w:rsidR="000F50EF" w:rsidRPr="000C15D3" w:rsidRDefault="000C15D3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0EF" w:rsidRPr="000C15D3">
        <w:rPr>
          <w:rFonts w:ascii="Times New Roman" w:hAnsi="Times New Roman" w:cs="Times New Roman"/>
          <w:sz w:val="24"/>
          <w:szCs w:val="24"/>
        </w:rPr>
        <w:t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</w:t>
      </w:r>
    </w:p>
    <w:p w:rsidR="000F50EF" w:rsidRDefault="000C15D3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Посебно је приликом планирања ове групе конта потребан крајње реалан приступ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и са аспекта Закона о роковима измирења новчаних обавеза у комерцијалним трансакцијама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(„Службени гласник РСˮ, бр. 119/12, 68/15, 113/17</w:t>
      </w:r>
      <w:r w:rsidR="00D454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50EF" w:rsidRPr="000F50EF">
        <w:rPr>
          <w:rFonts w:ascii="Times New Roman" w:hAnsi="Times New Roman" w:cs="Times New Roman"/>
          <w:sz w:val="24"/>
          <w:szCs w:val="24"/>
        </w:rPr>
        <w:t xml:space="preserve"> 91/19</w:t>
      </w:r>
      <w:r w:rsidR="00D45439">
        <w:rPr>
          <w:rFonts w:ascii="Times New Roman" w:hAnsi="Times New Roman" w:cs="Times New Roman"/>
          <w:sz w:val="24"/>
          <w:szCs w:val="24"/>
          <w:lang w:val="sr-Cyrl-RS"/>
        </w:rPr>
        <w:t xml:space="preserve"> и 41/21</w:t>
      </w:r>
      <w:r w:rsidR="000F50EF" w:rsidRPr="000F50EF">
        <w:rPr>
          <w:rFonts w:ascii="Times New Roman" w:hAnsi="Times New Roman" w:cs="Times New Roman"/>
          <w:sz w:val="24"/>
          <w:szCs w:val="24"/>
        </w:rPr>
        <w:t>).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F72EB" w:rsidRDefault="003F72EB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EB" w:rsidRDefault="003F72EB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Pr="000C15D3" w:rsidRDefault="000F50EF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D3">
        <w:rPr>
          <w:rFonts w:ascii="Times New Roman" w:hAnsi="Times New Roman" w:cs="Times New Roman"/>
          <w:b/>
          <w:sz w:val="24"/>
          <w:szCs w:val="24"/>
        </w:rPr>
        <w:t>Група конта 45 - Субвенције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0C15D3">
      <w:pPr>
        <w:pStyle w:val="ListParagraph"/>
        <w:autoSpaceDE w:val="0"/>
        <w:autoSpaceDN w:val="0"/>
        <w:adjustRightInd w:val="0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У оквиру субвенција неопходно је преиспитати све програме по основу којих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додељују субвенције. Приликом планирања средстава за субвенције и њихових намена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посебно треба имати у виду све прописе који се тичу државне помоћи.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C15D3" w:rsidRDefault="000F50EF" w:rsidP="000C1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D3">
        <w:rPr>
          <w:rFonts w:ascii="Times New Roman" w:hAnsi="Times New Roman" w:cs="Times New Roman"/>
          <w:b/>
          <w:sz w:val="24"/>
          <w:szCs w:val="24"/>
        </w:rPr>
        <w:t>Група конта 48 - Остали расходи</w:t>
      </w:r>
    </w:p>
    <w:p w:rsidR="000F50EF" w:rsidRPr="000F50EF" w:rsidRDefault="000F50EF" w:rsidP="000F50EF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0C15D3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Приликом планирања наведених расхода, треба имати у виду да се услед</w:t>
      </w:r>
    </w:p>
    <w:p w:rsidR="000F50EF" w:rsidRPr="000F50EF" w:rsidRDefault="000F50EF" w:rsidP="000C15D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недовољног износа средстава на економској класификацији 483 - Новчане казне и пенали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решењу судова, иста повећава смањењем осталих економских класификација, на којима 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због наведеног, неопходно прилагодити преузимање обавеза, како би се на тај начин спречило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стварање доцњи.</w:t>
      </w:r>
    </w:p>
    <w:p w:rsidR="00A02142" w:rsidRDefault="00A02142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D3F90" w:rsidRDefault="006D3F90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D3F90" w:rsidRDefault="006D3F90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D3F90" w:rsidRDefault="006D3F90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D3F90" w:rsidRDefault="006D3F90" w:rsidP="00A02142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9A4D16" w:rsidRDefault="009A4D16" w:rsidP="009A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8.</w:t>
      </w:r>
      <w:r w:rsidR="001E0B3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0F50EF" w:rsidRPr="009A4D16">
        <w:rPr>
          <w:rFonts w:ascii="Times New Roman" w:hAnsi="Times New Roman" w:cs="Times New Roman"/>
          <w:b/>
          <w:sz w:val="24"/>
          <w:szCs w:val="24"/>
        </w:rPr>
        <w:t>Смернице за исказивање издатака за капиталне пројекте</w:t>
      </w: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EF">
        <w:rPr>
          <w:rFonts w:ascii="Times New Roman" w:hAnsi="Times New Roman" w:cs="Times New Roman"/>
          <w:b/>
          <w:sz w:val="24"/>
          <w:szCs w:val="24"/>
        </w:rPr>
        <w:t>Класа 5 - Издаци за нефинансијску имовину</w:t>
      </w:r>
    </w:p>
    <w:p w:rsidR="00B64945" w:rsidRPr="00B64945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Pr="000F50EF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У циљу ефикасног планирања, важно је да корисници расходе за текуће поправке  одржавање зграда, објеката и опреме (за молерске, зидарске радове, поправке електронске</w:t>
      </w:r>
      <w:r w:rsidR="000F50EF">
        <w:rPr>
          <w:rFonts w:ascii="Times New Roman" w:hAnsi="Times New Roman" w:cs="Times New Roman"/>
          <w:sz w:val="24"/>
          <w:szCs w:val="24"/>
        </w:rPr>
        <w:t xml:space="preserve"> и </w:t>
      </w:r>
      <w:r w:rsidR="000F50EF" w:rsidRP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електричне опреме, замена санитарија, радијатора и сличне послове), којима се чув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>упoтрeбнa врeднoст зграда, објеката и опреме у стaњу кoje je билo у трeнутку изгрaдњe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oднoснo рeкoнструкциje и којима се не увећава њихова инвестициона вредност планирају н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>апропријацији економске класификације 425 - Текуће поправке и одржавање, док се средств</w:t>
      </w:r>
      <w:r w:rsidR="003D349B">
        <w:rPr>
          <w:rFonts w:ascii="Times New Roman" w:hAnsi="Times New Roman" w:cs="Times New Roman"/>
          <w:sz w:val="24"/>
          <w:szCs w:val="24"/>
        </w:rPr>
        <w:t xml:space="preserve">а </w:t>
      </w:r>
      <w:r w:rsidR="000F50EF" w:rsidRPr="000F50EF">
        <w:rPr>
          <w:rFonts w:ascii="Times New Roman" w:hAnsi="Times New Roman" w:cs="Times New Roman"/>
          <w:sz w:val="24"/>
          <w:szCs w:val="24"/>
        </w:rPr>
        <w:t>за капитално одржавање (знaчajни, дугoрoчни рaдoви нa рeнoвирaњу и унaпрeђeњу пoстojeћи</w:t>
      </w:r>
      <w:r w:rsidR="003D349B">
        <w:rPr>
          <w:rFonts w:ascii="Times New Roman" w:hAnsi="Times New Roman" w:cs="Times New Roman"/>
          <w:sz w:val="24"/>
          <w:szCs w:val="24"/>
        </w:rPr>
        <w:t xml:space="preserve">х </w:t>
      </w:r>
      <w:r w:rsidR="000F50EF" w:rsidRPr="000F50EF">
        <w:rPr>
          <w:rFonts w:ascii="Times New Roman" w:hAnsi="Times New Roman" w:cs="Times New Roman"/>
          <w:sz w:val="24"/>
          <w:szCs w:val="24"/>
        </w:rPr>
        <w:t>oбjeкaтa и опреме, адаптација, реконструкција, санација и др.) планирају на контима класе 5.</w:t>
      </w:r>
    </w:p>
    <w:p w:rsidR="000F50EF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Приликом планирања и реализације капиталних пројакта јединице локалне самоуправе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треба увек да имају у виду периода који је потребан за реализацију пројеката и динамике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плаћања који прати исти, те да сходно наведеном размотре могућност вишегодишњег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финансирања истих, а у циљу спречавања оптерећења буџета.</w:t>
      </w:r>
    </w:p>
    <w:p w:rsidR="000F50EF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945"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Такође, приликом приказивања издатака за капиталне пројекте у буџету за 202</w:t>
      </w:r>
      <w:r w:rsidR="006D3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F50EF" w:rsidRPr="000F50EF">
        <w:rPr>
          <w:rFonts w:ascii="Times New Roman" w:hAnsi="Times New Roman" w:cs="Times New Roman"/>
          <w:sz w:val="24"/>
          <w:szCs w:val="24"/>
        </w:rPr>
        <w:t>.</w:t>
      </w: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годину и наредне две године, потребно је приказати не само оне капиталне пројекте који бити започети и реализовани у 202</w:t>
      </w:r>
      <w:r w:rsidR="003D22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F50EF">
        <w:rPr>
          <w:rFonts w:ascii="Times New Roman" w:hAnsi="Times New Roman" w:cs="Times New Roman"/>
          <w:sz w:val="24"/>
          <w:szCs w:val="24"/>
        </w:rPr>
        <w:t>. години, већ и оне који су започети у претходним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годинама а чија је реализација у току и при томе навести све релевантне податке везане за исте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 xml:space="preserve">(годину почетка финансирања, годину завршетка финансирања, укупну вредност </w:t>
      </w:r>
      <w:proofErr w:type="gramStart"/>
      <w:r w:rsidRPr="000F50EF">
        <w:rPr>
          <w:rFonts w:ascii="Times New Roman" w:hAnsi="Times New Roman" w:cs="Times New Roman"/>
          <w:sz w:val="24"/>
          <w:szCs w:val="24"/>
        </w:rPr>
        <w:t>пројекта,изворе</w:t>
      </w:r>
      <w:proofErr w:type="gramEnd"/>
      <w:r w:rsidRPr="000F50EF">
        <w:rPr>
          <w:rFonts w:ascii="Times New Roman" w:hAnsi="Times New Roman" w:cs="Times New Roman"/>
          <w:sz w:val="24"/>
          <w:szCs w:val="24"/>
        </w:rPr>
        <w:t xml:space="preserve"> финансирања, тј. приходе из буџета, трансфере од других нивоа власти итд.).</w:t>
      </w:r>
    </w:p>
    <w:p w:rsidR="003D349B" w:rsidRPr="000F50EF" w:rsidRDefault="003D349B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3D349B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9B">
        <w:rPr>
          <w:rFonts w:ascii="Times New Roman" w:hAnsi="Times New Roman" w:cs="Times New Roman"/>
          <w:b/>
          <w:sz w:val="24"/>
          <w:szCs w:val="24"/>
        </w:rPr>
        <w:t>Капитални пројекти</w:t>
      </w:r>
    </w:p>
    <w:p w:rsidR="000F50EF" w:rsidRPr="003D349B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F" w:rsidRPr="000F50EF" w:rsidRDefault="00B64945" w:rsidP="00A64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Капитални пројекти су пројекти изградње и капиталног одржавања зграда и</w:t>
      </w:r>
    </w:p>
    <w:p w:rsidR="000F50EF" w:rsidRPr="000F50EF" w:rsidRDefault="000F50EF" w:rsidP="00A64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0EF">
        <w:rPr>
          <w:rFonts w:ascii="Times New Roman" w:hAnsi="Times New Roman" w:cs="Times New Roman"/>
          <w:sz w:val="24"/>
          <w:szCs w:val="24"/>
        </w:rPr>
        <w:t>грађевинских објеката инфраструктуре од интереса за Републику Србију, односно локалну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власт укључујући услуге пројектног планирања које је саставни део пројекта, обезбеђивање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земљишта за изградњу, као и пројекти који подразумевају улагања у опрему, машине и другу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Pr="000F50EF">
        <w:rPr>
          <w:rFonts w:ascii="Times New Roman" w:hAnsi="Times New Roman" w:cs="Times New Roman"/>
          <w:sz w:val="24"/>
          <w:szCs w:val="24"/>
        </w:rPr>
        <w:t>нефинансијску имовину, а у функцији су јавног интереса.</w:t>
      </w:r>
    </w:p>
    <w:p w:rsidR="000F50EF" w:rsidRP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Pr="000F50EF" w:rsidRDefault="00B64945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50EF" w:rsidRPr="000F50EF">
        <w:rPr>
          <w:rFonts w:ascii="Times New Roman" w:hAnsi="Times New Roman" w:cs="Times New Roman"/>
          <w:sz w:val="24"/>
          <w:szCs w:val="24"/>
        </w:rPr>
        <w:t>Капитални пројекти планирају се и укључују у буџет у складу са одредбама</w:t>
      </w:r>
      <w:r w:rsidR="003D349B">
        <w:rPr>
          <w:rFonts w:ascii="Times New Roman" w:hAnsi="Times New Roman" w:cs="Times New Roman"/>
          <w:sz w:val="24"/>
          <w:szCs w:val="24"/>
        </w:rPr>
        <w:t xml:space="preserve"> </w:t>
      </w:r>
      <w:r w:rsidR="000F50EF" w:rsidRPr="000F50EF">
        <w:rPr>
          <w:rFonts w:ascii="Times New Roman" w:hAnsi="Times New Roman" w:cs="Times New Roman"/>
          <w:sz w:val="24"/>
          <w:szCs w:val="24"/>
        </w:rPr>
        <w:t>Уредбе о управљању капиталним пројектима („Службени гласник РС”, бр. 51/19).</w:t>
      </w:r>
    </w:p>
    <w:p w:rsidR="000F50EF" w:rsidRP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50EF" w:rsidRDefault="000F50EF" w:rsidP="000F5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70" w:rsidRPr="001E0B35" w:rsidRDefault="00B64945" w:rsidP="001E0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9.</w:t>
      </w:r>
      <w:r w:rsidR="008B3A4F" w:rsidRPr="009A4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76A" w:rsidRPr="009A4D16">
        <w:rPr>
          <w:rFonts w:ascii="Times New Roman" w:hAnsi="Times New Roman" w:cs="Times New Roman"/>
          <w:b/>
          <w:bCs/>
          <w:sz w:val="24"/>
          <w:szCs w:val="24"/>
        </w:rPr>
        <w:t>Поступак и динамика достављања</w:t>
      </w:r>
      <w:r w:rsidR="000F42BB" w:rsidRPr="009A4D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gramStart"/>
      <w:r w:rsidR="0061376A" w:rsidRPr="009A4D16">
        <w:rPr>
          <w:rFonts w:ascii="Times New Roman" w:hAnsi="Times New Roman" w:cs="Times New Roman"/>
          <w:b/>
          <w:bCs/>
          <w:sz w:val="24"/>
          <w:szCs w:val="24"/>
        </w:rPr>
        <w:t>предлога  финансијског</w:t>
      </w:r>
      <w:proofErr w:type="gramEnd"/>
      <w:r w:rsidR="0061376A" w:rsidRPr="009A4D16">
        <w:rPr>
          <w:rFonts w:ascii="Times New Roman" w:hAnsi="Times New Roman" w:cs="Times New Roman"/>
          <w:b/>
          <w:bCs/>
          <w:sz w:val="24"/>
          <w:szCs w:val="24"/>
        </w:rPr>
        <w:t xml:space="preserve"> плана буџетских корисника</w:t>
      </w:r>
    </w:p>
    <w:p w:rsidR="008B3A4F" w:rsidRDefault="008B3A4F" w:rsidP="00AA1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EF7" w:rsidRDefault="00374EF7" w:rsidP="00374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374EF7">
        <w:rPr>
          <w:rFonts w:ascii="Times New Roman" w:hAnsi="Times New Roman" w:cs="Times New Roman"/>
          <w:sz w:val="24"/>
          <w:szCs w:val="24"/>
        </w:rPr>
        <w:t xml:space="preserve">Предлог финансијског плана за 2023. годину мора да представља процену финансијских потреба корисника буџетских средстава, као и извора средстава из којих ће се ове потребе финансирати. </w:t>
      </w:r>
    </w:p>
    <w:p w:rsidR="00374EF7" w:rsidRPr="00374EF7" w:rsidRDefault="00374EF7" w:rsidP="00AA1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F7">
        <w:rPr>
          <w:rFonts w:ascii="Times New Roman" w:hAnsi="Times New Roman" w:cs="Times New Roman"/>
          <w:b/>
          <w:sz w:val="24"/>
          <w:szCs w:val="24"/>
        </w:rPr>
        <w:t xml:space="preserve">Услед настале ситуације везане за енергетску кризу изазвану ратом у Украјини као и још увек присутну пандемију заразне болести COVID-19, Министарство финансија даје препоруку буџетским корисницима локалне самоуправе да приликом припремања финансијских планова изврше распоред средстава у односу на обавезе чије измирење је приоритетно. </w:t>
      </w:r>
    </w:p>
    <w:p w:rsidR="00374EF7" w:rsidRDefault="00374EF7" w:rsidP="00AA1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F7">
        <w:rPr>
          <w:rFonts w:ascii="Times New Roman" w:hAnsi="Times New Roman" w:cs="Times New Roman"/>
          <w:sz w:val="24"/>
          <w:szCs w:val="24"/>
        </w:rPr>
        <w:t xml:space="preserve">Посебно је важно да буџетски корисници у предлогу свог финансијског плана, осим буџетских, искажу и друге изворе финансирања (донације, трансфери од других нивоа власти и сл.). </w:t>
      </w:r>
    </w:p>
    <w:p w:rsidR="00374EF7" w:rsidRPr="009A4D16" w:rsidRDefault="00374EF7" w:rsidP="00AA1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Буџетски корисници у 2023. години не исказују сопствене приходе, већ се наведени приходи уплаћују на прописане рачуне за уплату јавних прихода и то извор 01. </w:t>
      </w:r>
    </w:p>
    <w:p w:rsidR="00374EF7" w:rsidRDefault="00374EF7" w:rsidP="00242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F7">
        <w:rPr>
          <w:rFonts w:ascii="Times New Roman" w:hAnsi="Times New Roman" w:cs="Times New Roman"/>
          <w:sz w:val="24"/>
          <w:szCs w:val="24"/>
        </w:rPr>
        <w:t xml:space="preserve"> Чланом 112. Закона о буџетском систему предвиђено је да се од доношења одлука о буџету локалних власти за 2015. годину уводи програмски буџет. У том смислу постоји обавеза корисника буџета да предлоге финансијских планова за 2023. годину припреме (као саставног дела програма пословања/рада) по програмском моделу.</w:t>
      </w:r>
    </w:p>
    <w:p w:rsidR="00374EF7" w:rsidRPr="002773A1" w:rsidRDefault="00374EF7" w:rsidP="00374E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374EF7">
        <w:rPr>
          <w:rFonts w:ascii="Times New Roman" w:hAnsi="Times New Roman" w:cs="Times New Roman"/>
          <w:sz w:val="24"/>
          <w:szCs w:val="24"/>
        </w:rPr>
        <w:t xml:space="preserve"> </w:t>
      </w:r>
      <w:r w:rsidRPr="00374EF7">
        <w:rPr>
          <w:rFonts w:ascii="Times New Roman" w:hAnsi="Times New Roman" w:cs="Times New Roman"/>
          <w:b/>
          <w:sz w:val="24"/>
          <w:szCs w:val="24"/>
        </w:rPr>
        <w:t xml:space="preserve">Сви буџетски корисници су у обавези да се придржавају утврђених лимита приликом израде предлога финансијских планова. Уколико одређени лимит није довољан за реализацију планираних програма и активности у 2023. </w:t>
      </w:r>
      <w:proofErr w:type="gramStart"/>
      <w:r w:rsidRPr="00374EF7">
        <w:rPr>
          <w:rFonts w:ascii="Times New Roman" w:hAnsi="Times New Roman" w:cs="Times New Roman"/>
          <w:b/>
          <w:sz w:val="24"/>
          <w:szCs w:val="24"/>
        </w:rPr>
        <w:t>години,  буџетски</w:t>
      </w:r>
      <w:proofErr w:type="gramEnd"/>
      <w:r w:rsidRPr="00374EF7">
        <w:rPr>
          <w:rFonts w:ascii="Times New Roman" w:hAnsi="Times New Roman" w:cs="Times New Roman"/>
          <w:b/>
          <w:sz w:val="24"/>
          <w:szCs w:val="24"/>
        </w:rPr>
        <w:t xml:space="preserve"> корисник подноси Захтев за додатна средства, са детаљним образложењем и извором финансирања из кога ће се финансирати додатне активности</w:t>
      </w:r>
      <w:r w:rsidR="002773A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A1170" w:rsidRDefault="002773A1" w:rsidP="00374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74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1943" w:rsidRPr="001A1D81" w:rsidRDefault="00A649D9" w:rsidP="001A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1D81">
        <w:rPr>
          <w:rFonts w:ascii="Times New Roman" w:hAnsi="Times New Roman" w:cs="Times New Roman"/>
          <w:sz w:val="24"/>
          <w:szCs w:val="24"/>
        </w:rPr>
        <w:t xml:space="preserve"> </w:t>
      </w:r>
      <w:r w:rsidR="009A4D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F91943"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Предлог финансијског плана састоји се од: 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1) Обрасци за програмски буџет</w:t>
      </w:r>
    </w:p>
    <w:p w:rsidR="00F91943" w:rsidRPr="005137CE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2) Прилог 1- Преглед броја запослених и средства за плате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 са</w:t>
      </w:r>
      <w:proofErr w:type="gramEnd"/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припадајућим табелама)</w:t>
      </w:r>
    </w:p>
    <w:p w:rsidR="00F91943" w:rsidRPr="008B3A4F" w:rsidRDefault="008B3A4F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A4429">
        <w:rPr>
          <w:rFonts w:ascii="Times New Roman" w:hAnsi="Times New Roman" w:cs="Times New Roman"/>
          <w:color w:val="000000" w:themeColor="text1"/>
          <w:sz w:val="24"/>
          <w:szCs w:val="24"/>
        </w:rPr>
        <w:t>Детаљно писано образложење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 и издатака, као и извора </w:t>
      </w:r>
      <w:proofErr w:type="gramStart"/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финансирања;</w:t>
      </w:r>
      <w:r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</w:t>
      </w:r>
      <w:proofErr w:type="gramEnd"/>
      <w:r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све врсте трошкова и издатака (навести конкретно за шта ће се трошити средства, а не само називе конта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1943" w:rsidRPr="005137CE" w:rsidRDefault="008B3A4F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Полугодишњи извештај о учинку програма за 202</w:t>
      </w:r>
      <w:r w:rsidR="00374E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годину</w:t>
      </w:r>
    </w:p>
    <w:p w:rsidR="008B3A4F" w:rsidRDefault="00433E27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фиансијског плана доставити у штампаном облику, са печатом и потписом одговорног лица буџетског корисника, као и у електронском облику на 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адресу 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</w:rPr>
        <w:t>finansije@mionica.rs.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7E0" w:rsidRPr="002773A1" w:rsidRDefault="001A1D81" w:rsidP="001A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Упућујемо кориснике буџета Општине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да с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обрасци за програмски </w:t>
      </w:r>
      <w:proofErr w:type="gramStart"/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буџет,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полугодишњи</w:t>
      </w:r>
      <w:proofErr w:type="gramEnd"/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извештај о учинку</w:t>
      </w:r>
      <w:r w:rsidR="00620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програма и Прилог 1 доступни на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7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сајту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Министарства финансија</w:t>
      </w:r>
      <w:r w:rsidR="00620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62002D">
        <w:rPr>
          <w:rFonts w:ascii="Times New Roman" w:hAnsi="Times New Roman" w:cs="Times New Roman"/>
          <w:color w:val="000000" w:themeColor="text1"/>
          <w:sz w:val="24"/>
          <w:szCs w:val="24"/>
        </w:rPr>
        <w:t>www.mfin.gov.rs)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општине </w:t>
      </w:r>
      <w:r w:rsidR="00433E27"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="0062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hyperlink r:id="rId9" w:history="1">
        <w:r w:rsidR="002773A1" w:rsidRPr="004A1028">
          <w:rPr>
            <w:rStyle w:val="Hyperlink"/>
            <w:rFonts w:ascii="Times New Roman" w:hAnsi="Times New Roman" w:cs="Times New Roman"/>
            <w:sz w:val="24"/>
            <w:szCs w:val="24"/>
          </w:rPr>
          <w:t>www.mionica.rs</w:t>
        </w:r>
      </w:hyperlink>
      <w:r w:rsidR="002B30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7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делу Буџет.</w:t>
      </w:r>
    </w:p>
    <w:p w:rsidR="00AA1170" w:rsidRDefault="00AA1170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03A" w:rsidRPr="002B303A" w:rsidRDefault="002B303A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достављање предлога финансијск</w:t>
      </w:r>
      <w:r w:rsidR="002773A1">
        <w:rPr>
          <w:rFonts w:ascii="Times New Roman" w:hAnsi="Times New Roman" w:cs="Times New Roman"/>
          <w:sz w:val="24"/>
          <w:szCs w:val="24"/>
          <w:lang w:val="sr-Cyrl-RS"/>
        </w:rPr>
        <w:t xml:space="preserve">их планова индиректних корисника је 29. август. 2022. године( петак), </w:t>
      </w:r>
      <w:r w:rsidR="009A4D1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773A1">
        <w:rPr>
          <w:rFonts w:ascii="Times New Roman" w:hAnsi="Times New Roman" w:cs="Times New Roman"/>
          <w:sz w:val="24"/>
          <w:szCs w:val="24"/>
          <w:lang w:val="sr-Cyrl-RS"/>
        </w:rPr>
        <w:t xml:space="preserve">за директне кориснике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01. септембар 202</w:t>
      </w:r>
      <w:r w:rsidR="00374EF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170" w:rsidRPr="00280831" w:rsidRDefault="00AA1170" w:rsidP="00AA11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4604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="00433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ОДЕЉЕЊА</w:t>
      </w:r>
      <w:r w:rsidR="001A1D8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AA1170" w:rsidRPr="00AA1170" w:rsidRDefault="00AA1170" w:rsidP="00AA11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604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Кристина Чарапић</w:t>
      </w:r>
      <w:r w:rsidR="00251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62A7" w:rsidRPr="00374601" w:rsidRDefault="00A162A7" w:rsidP="006931CC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2A7" w:rsidRPr="00374601" w:rsidSect="00FB48DF">
      <w:footerReference w:type="default" r:id="rId10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5C" w:rsidRDefault="00F5405C" w:rsidP="00FB5204">
      <w:r>
        <w:separator/>
      </w:r>
    </w:p>
  </w:endnote>
  <w:endnote w:type="continuationSeparator" w:id="0">
    <w:p w:rsidR="00F5405C" w:rsidRDefault="00F5405C" w:rsidP="00FB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F90" w:rsidRDefault="006D3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3F90" w:rsidRDefault="006D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5C" w:rsidRDefault="00F5405C" w:rsidP="00FB5204">
      <w:r>
        <w:separator/>
      </w:r>
    </w:p>
  </w:footnote>
  <w:footnote w:type="continuationSeparator" w:id="0">
    <w:p w:rsidR="00F5405C" w:rsidRDefault="00F5405C" w:rsidP="00FB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8D9608"/>
    <w:multiLevelType w:val="hybridMultilevel"/>
    <w:tmpl w:val="5D15A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02A25"/>
    <w:multiLevelType w:val="hybridMultilevel"/>
    <w:tmpl w:val="EE782E2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258F9FA"/>
    <w:multiLevelType w:val="hybridMultilevel"/>
    <w:tmpl w:val="587D8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3A1F81"/>
    <w:multiLevelType w:val="hybridMultilevel"/>
    <w:tmpl w:val="032C2B10"/>
    <w:lvl w:ilvl="0" w:tplc="E2C07F3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B57F2"/>
    <w:multiLevelType w:val="hybridMultilevel"/>
    <w:tmpl w:val="3FECC026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BD927D2"/>
    <w:multiLevelType w:val="hybridMultilevel"/>
    <w:tmpl w:val="C512EF2A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0EC7243C"/>
    <w:multiLevelType w:val="hybridMultilevel"/>
    <w:tmpl w:val="82266258"/>
    <w:lvl w:ilvl="0" w:tplc="40C6699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1440E78"/>
    <w:multiLevelType w:val="hybridMultilevel"/>
    <w:tmpl w:val="43AC7CBE"/>
    <w:lvl w:ilvl="0" w:tplc="F4F02394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16472"/>
    <w:multiLevelType w:val="hybridMultilevel"/>
    <w:tmpl w:val="F0406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60E479F"/>
    <w:multiLevelType w:val="hybridMultilevel"/>
    <w:tmpl w:val="38D82AB2"/>
    <w:lvl w:ilvl="0" w:tplc="20F8145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1C24EF"/>
    <w:multiLevelType w:val="hybridMultilevel"/>
    <w:tmpl w:val="A710B644"/>
    <w:lvl w:ilvl="0" w:tplc="503221B6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617411"/>
    <w:multiLevelType w:val="hybridMultilevel"/>
    <w:tmpl w:val="85F6C614"/>
    <w:lvl w:ilvl="0" w:tplc="6B32FBFC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6911"/>
    <w:multiLevelType w:val="hybridMultilevel"/>
    <w:tmpl w:val="DC52E1B8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2E6AB3"/>
    <w:multiLevelType w:val="hybridMultilevel"/>
    <w:tmpl w:val="4C84E63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27D62"/>
    <w:multiLevelType w:val="hybridMultilevel"/>
    <w:tmpl w:val="B82876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4504A"/>
    <w:multiLevelType w:val="hybridMultilevel"/>
    <w:tmpl w:val="4C84DB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558E770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9EA428B"/>
    <w:multiLevelType w:val="hybridMultilevel"/>
    <w:tmpl w:val="32A0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E1D6B"/>
    <w:multiLevelType w:val="hybridMultilevel"/>
    <w:tmpl w:val="81B69A5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335C1B"/>
    <w:multiLevelType w:val="hybridMultilevel"/>
    <w:tmpl w:val="D9CE4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575"/>
    <w:multiLevelType w:val="hybridMultilevel"/>
    <w:tmpl w:val="5852D78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5B14"/>
    <w:multiLevelType w:val="hybridMultilevel"/>
    <w:tmpl w:val="9BB04CEC"/>
    <w:lvl w:ilvl="0" w:tplc="75440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95B1F"/>
    <w:multiLevelType w:val="hybridMultilevel"/>
    <w:tmpl w:val="E5022E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51C1C"/>
    <w:multiLevelType w:val="hybridMultilevel"/>
    <w:tmpl w:val="4300B6F6"/>
    <w:lvl w:ilvl="0" w:tplc="20F81450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6E15831"/>
    <w:multiLevelType w:val="hybridMultilevel"/>
    <w:tmpl w:val="142899FE"/>
    <w:lvl w:ilvl="0" w:tplc="27E2839C">
      <w:start w:val="5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B8A35"/>
    <w:multiLevelType w:val="hybridMultilevel"/>
    <w:tmpl w:val="E21CDA16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772E23"/>
    <w:multiLevelType w:val="hybridMultilevel"/>
    <w:tmpl w:val="5BCE5790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36044CC"/>
    <w:multiLevelType w:val="hybridMultilevel"/>
    <w:tmpl w:val="CD723C08"/>
    <w:lvl w:ilvl="0" w:tplc="9A4AB48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256B2F"/>
    <w:multiLevelType w:val="hybridMultilevel"/>
    <w:tmpl w:val="F57E6E2A"/>
    <w:lvl w:ilvl="0" w:tplc="38047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4351"/>
    <w:multiLevelType w:val="hybridMultilevel"/>
    <w:tmpl w:val="360007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74E5CE6"/>
    <w:multiLevelType w:val="hybridMultilevel"/>
    <w:tmpl w:val="0570E174"/>
    <w:lvl w:ilvl="0" w:tplc="04800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5233F"/>
    <w:multiLevelType w:val="hybridMultilevel"/>
    <w:tmpl w:val="E3B06A32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06C422D"/>
    <w:multiLevelType w:val="hybridMultilevel"/>
    <w:tmpl w:val="5ABEC072"/>
    <w:lvl w:ilvl="0" w:tplc="45BCC4A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B135B04"/>
    <w:multiLevelType w:val="hybridMultilevel"/>
    <w:tmpl w:val="F5021342"/>
    <w:lvl w:ilvl="0" w:tplc="78FCE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AB25BB"/>
    <w:multiLevelType w:val="hybridMultilevel"/>
    <w:tmpl w:val="07FCC15C"/>
    <w:lvl w:ilvl="0" w:tplc="55F050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7"/>
  </w:num>
  <w:num w:numId="5">
    <w:abstractNumId w:val="21"/>
  </w:num>
  <w:num w:numId="6">
    <w:abstractNumId w:val="12"/>
  </w:num>
  <w:num w:numId="7">
    <w:abstractNumId w:val="32"/>
  </w:num>
  <w:num w:numId="8">
    <w:abstractNumId w:val="9"/>
  </w:num>
  <w:num w:numId="9">
    <w:abstractNumId w:val="19"/>
  </w:num>
  <w:num w:numId="10">
    <w:abstractNumId w:val="20"/>
  </w:num>
  <w:num w:numId="11">
    <w:abstractNumId w:val="26"/>
  </w:num>
  <w:num w:numId="12">
    <w:abstractNumId w:val="8"/>
  </w:num>
  <w:num w:numId="13">
    <w:abstractNumId w:val="4"/>
  </w:num>
  <w:num w:numId="14">
    <w:abstractNumId w:val="5"/>
  </w:num>
  <w:num w:numId="15">
    <w:abstractNumId w:val="30"/>
  </w:num>
  <w:num w:numId="16">
    <w:abstractNumId w:val="25"/>
  </w:num>
  <w:num w:numId="17">
    <w:abstractNumId w:val="22"/>
  </w:num>
  <w:num w:numId="18">
    <w:abstractNumId w:val="16"/>
  </w:num>
  <w:num w:numId="19">
    <w:abstractNumId w:val="7"/>
  </w:num>
  <w:num w:numId="20">
    <w:abstractNumId w:val="15"/>
  </w:num>
  <w:num w:numId="21">
    <w:abstractNumId w:val="23"/>
  </w:num>
  <w:num w:numId="22">
    <w:abstractNumId w:val="3"/>
  </w:num>
  <w:num w:numId="23">
    <w:abstractNumId w:val="18"/>
  </w:num>
  <w:num w:numId="24">
    <w:abstractNumId w:val="29"/>
  </w:num>
  <w:num w:numId="25">
    <w:abstractNumId w:val="31"/>
  </w:num>
  <w:num w:numId="26">
    <w:abstractNumId w:val="1"/>
  </w:num>
  <w:num w:numId="27">
    <w:abstractNumId w:val="28"/>
  </w:num>
  <w:num w:numId="28">
    <w:abstractNumId w:val="10"/>
  </w:num>
  <w:num w:numId="29">
    <w:abstractNumId w:val="11"/>
  </w:num>
  <w:num w:numId="30">
    <w:abstractNumId w:val="14"/>
  </w:num>
  <w:num w:numId="31">
    <w:abstractNumId w:val="13"/>
  </w:num>
  <w:num w:numId="32">
    <w:abstractNumId w:val="27"/>
  </w:num>
  <w:num w:numId="33">
    <w:abstractNumId w:val="3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7"/>
    <w:rsid w:val="00002172"/>
    <w:rsid w:val="0000246B"/>
    <w:rsid w:val="000100BF"/>
    <w:rsid w:val="00021475"/>
    <w:rsid w:val="000245EF"/>
    <w:rsid w:val="00026606"/>
    <w:rsid w:val="000268E8"/>
    <w:rsid w:val="00027C2F"/>
    <w:rsid w:val="00034FD1"/>
    <w:rsid w:val="000464AC"/>
    <w:rsid w:val="00051B32"/>
    <w:rsid w:val="00054A78"/>
    <w:rsid w:val="00055070"/>
    <w:rsid w:val="00064377"/>
    <w:rsid w:val="000665CB"/>
    <w:rsid w:val="00072ECA"/>
    <w:rsid w:val="00077C7C"/>
    <w:rsid w:val="00086000"/>
    <w:rsid w:val="000A379F"/>
    <w:rsid w:val="000B3AAC"/>
    <w:rsid w:val="000B4A8D"/>
    <w:rsid w:val="000C15D3"/>
    <w:rsid w:val="000C6286"/>
    <w:rsid w:val="000D0E71"/>
    <w:rsid w:val="000D54E0"/>
    <w:rsid w:val="000E66EC"/>
    <w:rsid w:val="000F42BB"/>
    <w:rsid w:val="000F50EF"/>
    <w:rsid w:val="001054F6"/>
    <w:rsid w:val="00114CEC"/>
    <w:rsid w:val="00115292"/>
    <w:rsid w:val="00122C37"/>
    <w:rsid w:val="00130DAD"/>
    <w:rsid w:val="00147321"/>
    <w:rsid w:val="001524FA"/>
    <w:rsid w:val="001547C7"/>
    <w:rsid w:val="001607B3"/>
    <w:rsid w:val="00163B1F"/>
    <w:rsid w:val="0017198F"/>
    <w:rsid w:val="00171A02"/>
    <w:rsid w:val="00175FC4"/>
    <w:rsid w:val="00187FF2"/>
    <w:rsid w:val="0019176C"/>
    <w:rsid w:val="00195975"/>
    <w:rsid w:val="001A198B"/>
    <w:rsid w:val="001A1D81"/>
    <w:rsid w:val="001A3DF7"/>
    <w:rsid w:val="001A45B1"/>
    <w:rsid w:val="001C37ED"/>
    <w:rsid w:val="001D3AC9"/>
    <w:rsid w:val="001D707F"/>
    <w:rsid w:val="001E07A7"/>
    <w:rsid w:val="001E0B35"/>
    <w:rsid w:val="001E772F"/>
    <w:rsid w:val="001F4340"/>
    <w:rsid w:val="001F548E"/>
    <w:rsid w:val="00205A29"/>
    <w:rsid w:val="00205B07"/>
    <w:rsid w:val="00211908"/>
    <w:rsid w:val="00216BA0"/>
    <w:rsid w:val="0022085B"/>
    <w:rsid w:val="00221789"/>
    <w:rsid w:val="00223390"/>
    <w:rsid w:val="00223B84"/>
    <w:rsid w:val="00242156"/>
    <w:rsid w:val="0024280E"/>
    <w:rsid w:val="00243057"/>
    <w:rsid w:val="00246225"/>
    <w:rsid w:val="00251A8C"/>
    <w:rsid w:val="00254AB9"/>
    <w:rsid w:val="00254C68"/>
    <w:rsid w:val="00261569"/>
    <w:rsid w:val="00263279"/>
    <w:rsid w:val="00267A34"/>
    <w:rsid w:val="00274387"/>
    <w:rsid w:val="0027464B"/>
    <w:rsid w:val="00275F3E"/>
    <w:rsid w:val="002773A1"/>
    <w:rsid w:val="00284BB3"/>
    <w:rsid w:val="002854CC"/>
    <w:rsid w:val="002900B1"/>
    <w:rsid w:val="00296D42"/>
    <w:rsid w:val="002972FF"/>
    <w:rsid w:val="00297EB6"/>
    <w:rsid w:val="002A22D5"/>
    <w:rsid w:val="002A58C7"/>
    <w:rsid w:val="002B303A"/>
    <w:rsid w:val="002D29D4"/>
    <w:rsid w:val="002D2E49"/>
    <w:rsid w:val="002D79CA"/>
    <w:rsid w:val="002E16DE"/>
    <w:rsid w:val="002F7813"/>
    <w:rsid w:val="00305AF3"/>
    <w:rsid w:val="003078FD"/>
    <w:rsid w:val="00310343"/>
    <w:rsid w:val="003205CD"/>
    <w:rsid w:val="0032700C"/>
    <w:rsid w:val="00340645"/>
    <w:rsid w:val="00343DF3"/>
    <w:rsid w:val="0035004D"/>
    <w:rsid w:val="00352923"/>
    <w:rsid w:val="00355FF0"/>
    <w:rsid w:val="003626D4"/>
    <w:rsid w:val="0036455C"/>
    <w:rsid w:val="003721A3"/>
    <w:rsid w:val="003736DE"/>
    <w:rsid w:val="003737D4"/>
    <w:rsid w:val="00374601"/>
    <w:rsid w:val="00374EF7"/>
    <w:rsid w:val="00382184"/>
    <w:rsid w:val="00383559"/>
    <w:rsid w:val="00383788"/>
    <w:rsid w:val="003A10E9"/>
    <w:rsid w:val="003A2FAA"/>
    <w:rsid w:val="003B0A68"/>
    <w:rsid w:val="003B47F9"/>
    <w:rsid w:val="003B654D"/>
    <w:rsid w:val="003C031C"/>
    <w:rsid w:val="003D22CB"/>
    <w:rsid w:val="003D349B"/>
    <w:rsid w:val="003D507A"/>
    <w:rsid w:val="003D55D1"/>
    <w:rsid w:val="003E3BC4"/>
    <w:rsid w:val="003F0A12"/>
    <w:rsid w:val="003F2D45"/>
    <w:rsid w:val="003F60D2"/>
    <w:rsid w:val="003F72EB"/>
    <w:rsid w:val="004001E0"/>
    <w:rsid w:val="004012A3"/>
    <w:rsid w:val="00402602"/>
    <w:rsid w:val="0040290C"/>
    <w:rsid w:val="0040516E"/>
    <w:rsid w:val="0041016B"/>
    <w:rsid w:val="00415ED6"/>
    <w:rsid w:val="00425F57"/>
    <w:rsid w:val="00426298"/>
    <w:rsid w:val="0043101E"/>
    <w:rsid w:val="00433E27"/>
    <w:rsid w:val="004406B6"/>
    <w:rsid w:val="004523DC"/>
    <w:rsid w:val="00454E2D"/>
    <w:rsid w:val="00460438"/>
    <w:rsid w:val="00462DCA"/>
    <w:rsid w:val="004662D3"/>
    <w:rsid w:val="004739E0"/>
    <w:rsid w:val="00477690"/>
    <w:rsid w:val="0048321A"/>
    <w:rsid w:val="00485C2B"/>
    <w:rsid w:val="00485D9E"/>
    <w:rsid w:val="00487029"/>
    <w:rsid w:val="00495B5D"/>
    <w:rsid w:val="00495C57"/>
    <w:rsid w:val="004A2A8A"/>
    <w:rsid w:val="004B2DB9"/>
    <w:rsid w:val="004B50D4"/>
    <w:rsid w:val="004B752F"/>
    <w:rsid w:val="004C26FB"/>
    <w:rsid w:val="004C5065"/>
    <w:rsid w:val="004C6DD0"/>
    <w:rsid w:val="004D7D9F"/>
    <w:rsid w:val="004E561F"/>
    <w:rsid w:val="00501566"/>
    <w:rsid w:val="00505F22"/>
    <w:rsid w:val="00512365"/>
    <w:rsid w:val="005137CE"/>
    <w:rsid w:val="00543109"/>
    <w:rsid w:val="00547F8C"/>
    <w:rsid w:val="005515B6"/>
    <w:rsid w:val="00555D54"/>
    <w:rsid w:val="00572246"/>
    <w:rsid w:val="0058278F"/>
    <w:rsid w:val="0058623F"/>
    <w:rsid w:val="0059386B"/>
    <w:rsid w:val="005959A2"/>
    <w:rsid w:val="00596A3D"/>
    <w:rsid w:val="00596C7C"/>
    <w:rsid w:val="0059723C"/>
    <w:rsid w:val="005A2A2A"/>
    <w:rsid w:val="005B0FCF"/>
    <w:rsid w:val="005B4388"/>
    <w:rsid w:val="005B54BE"/>
    <w:rsid w:val="005B7454"/>
    <w:rsid w:val="005C1080"/>
    <w:rsid w:val="005C3B95"/>
    <w:rsid w:val="005D0BD3"/>
    <w:rsid w:val="005D6407"/>
    <w:rsid w:val="005E12FC"/>
    <w:rsid w:val="005E1504"/>
    <w:rsid w:val="005E5409"/>
    <w:rsid w:val="005F1FFF"/>
    <w:rsid w:val="005F430C"/>
    <w:rsid w:val="006008D2"/>
    <w:rsid w:val="00603B00"/>
    <w:rsid w:val="00612090"/>
    <w:rsid w:val="0061376A"/>
    <w:rsid w:val="0062002D"/>
    <w:rsid w:val="00620876"/>
    <w:rsid w:val="00625C57"/>
    <w:rsid w:val="00632093"/>
    <w:rsid w:val="00643B1B"/>
    <w:rsid w:val="00647B2E"/>
    <w:rsid w:val="0065046E"/>
    <w:rsid w:val="00651A92"/>
    <w:rsid w:val="00652573"/>
    <w:rsid w:val="00653DC6"/>
    <w:rsid w:val="00653F44"/>
    <w:rsid w:val="0065605A"/>
    <w:rsid w:val="00656F46"/>
    <w:rsid w:val="006631DD"/>
    <w:rsid w:val="00664134"/>
    <w:rsid w:val="00667E29"/>
    <w:rsid w:val="0067192B"/>
    <w:rsid w:val="006723CE"/>
    <w:rsid w:val="006768E0"/>
    <w:rsid w:val="00684391"/>
    <w:rsid w:val="0069138C"/>
    <w:rsid w:val="00691D63"/>
    <w:rsid w:val="006931CC"/>
    <w:rsid w:val="006A169E"/>
    <w:rsid w:val="006A1BDE"/>
    <w:rsid w:val="006A4429"/>
    <w:rsid w:val="006C071C"/>
    <w:rsid w:val="006D3F90"/>
    <w:rsid w:val="006D7445"/>
    <w:rsid w:val="006E1D41"/>
    <w:rsid w:val="006E24DC"/>
    <w:rsid w:val="006E3DF8"/>
    <w:rsid w:val="006E6C94"/>
    <w:rsid w:val="006F1E78"/>
    <w:rsid w:val="006F28CB"/>
    <w:rsid w:val="006F628E"/>
    <w:rsid w:val="007019B2"/>
    <w:rsid w:val="00710B8D"/>
    <w:rsid w:val="007163E5"/>
    <w:rsid w:val="00725542"/>
    <w:rsid w:val="00725C7C"/>
    <w:rsid w:val="007334AB"/>
    <w:rsid w:val="0073678B"/>
    <w:rsid w:val="00745891"/>
    <w:rsid w:val="00747542"/>
    <w:rsid w:val="00753BBD"/>
    <w:rsid w:val="007547E0"/>
    <w:rsid w:val="00755A78"/>
    <w:rsid w:val="00755B90"/>
    <w:rsid w:val="00760072"/>
    <w:rsid w:val="00761270"/>
    <w:rsid w:val="0076292D"/>
    <w:rsid w:val="00782623"/>
    <w:rsid w:val="00784D55"/>
    <w:rsid w:val="00791638"/>
    <w:rsid w:val="00792C7A"/>
    <w:rsid w:val="0079397B"/>
    <w:rsid w:val="00794DFB"/>
    <w:rsid w:val="0079682A"/>
    <w:rsid w:val="007A19C1"/>
    <w:rsid w:val="007A7135"/>
    <w:rsid w:val="007B0B8B"/>
    <w:rsid w:val="007C4AC2"/>
    <w:rsid w:val="007C5D4F"/>
    <w:rsid w:val="007C6947"/>
    <w:rsid w:val="007D0190"/>
    <w:rsid w:val="007D3A79"/>
    <w:rsid w:val="007D3D91"/>
    <w:rsid w:val="007D5A0C"/>
    <w:rsid w:val="007D6A44"/>
    <w:rsid w:val="007D7A9F"/>
    <w:rsid w:val="007E1A25"/>
    <w:rsid w:val="007F5204"/>
    <w:rsid w:val="008006FF"/>
    <w:rsid w:val="008019C6"/>
    <w:rsid w:val="0080378F"/>
    <w:rsid w:val="0082596B"/>
    <w:rsid w:val="00833F21"/>
    <w:rsid w:val="008548AF"/>
    <w:rsid w:val="008570AD"/>
    <w:rsid w:val="00864A81"/>
    <w:rsid w:val="0087076B"/>
    <w:rsid w:val="008717CB"/>
    <w:rsid w:val="00881522"/>
    <w:rsid w:val="008A1FFC"/>
    <w:rsid w:val="008A33C5"/>
    <w:rsid w:val="008A6C47"/>
    <w:rsid w:val="008B200B"/>
    <w:rsid w:val="008B3A4F"/>
    <w:rsid w:val="008B51B8"/>
    <w:rsid w:val="008C02FD"/>
    <w:rsid w:val="008C1273"/>
    <w:rsid w:val="008C204D"/>
    <w:rsid w:val="008D7B77"/>
    <w:rsid w:val="008E437F"/>
    <w:rsid w:val="008F2013"/>
    <w:rsid w:val="008F640C"/>
    <w:rsid w:val="00910D20"/>
    <w:rsid w:val="00916068"/>
    <w:rsid w:val="00922FBF"/>
    <w:rsid w:val="00923688"/>
    <w:rsid w:val="00936BDF"/>
    <w:rsid w:val="00941907"/>
    <w:rsid w:val="00941C05"/>
    <w:rsid w:val="00942123"/>
    <w:rsid w:val="00944F0B"/>
    <w:rsid w:val="00950C2F"/>
    <w:rsid w:val="00953362"/>
    <w:rsid w:val="00953641"/>
    <w:rsid w:val="00955652"/>
    <w:rsid w:val="0095650D"/>
    <w:rsid w:val="00965274"/>
    <w:rsid w:val="00973272"/>
    <w:rsid w:val="009841AF"/>
    <w:rsid w:val="009872A3"/>
    <w:rsid w:val="009947D5"/>
    <w:rsid w:val="009948D5"/>
    <w:rsid w:val="00997178"/>
    <w:rsid w:val="009A0102"/>
    <w:rsid w:val="009A33BB"/>
    <w:rsid w:val="009A370D"/>
    <w:rsid w:val="009A4807"/>
    <w:rsid w:val="009A4B39"/>
    <w:rsid w:val="009A4D16"/>
    <w:rsid w:val="009A5A59"/>
    <w:rsid w:val="009B3DDB"/>
    <w:rsid w:val="009C10D4"/>
    <w:rsid w:val="009C563A"/>
    <w:rsid w:val="009D0686"/>
    <w:rsid w:val="009D06D1"/>
    <w:rsid w:val="009D5071"/>
    <w:rsid w:val="009D5380"/>
    <w:rsid w:val="009D6253"/>
    <w:rsid w:val="009D78F5"/>
    <w:rsid w:val="009E052D"/>
    <w:rsid w:val="009E2E40"/>
    <w:rsid w:val="009F0A9F"/>
    <w:rsid w:val="009F33D0"/>
    <w:rsid w:val="00A02142"/>
    <w:rsid w:val="00A1082E"/>
    <w:rsid w:val="00A13049"/>
    <w:rsid w:val="00A13E3C"/>
    <w:rsid w:val="00A162A7"/>
    <w:rsid w:val="00A218F7"/>
    <w:rsid w:val="00A32929"/>
    <w:rsid w:val="00A33AE4"/>
    <w:rsid w:val="00A34A0E"/>
    <w:rsid w:val="00A378ED"/>
    <w:rsid w:val="00A40843"/>
    <w:rsid w:val="00A41DD9"/>
    <w:rsid w:val="00A42F6F"/>
    <w:rsid w:val="00A46827"/>
    <w:rsid w:val="00A50E57"/>
    <w:rsid w:val="00A5274F"/>
    <w:rsid w:val="00A534AE"/>
    <w:rsid w:val="00A55FB4"/>
    <w:rsid w:val="00A5765E"/>
    <w:rsid w:val="00A6205E"/>
    <w:rsid w:val="00A649D9"/>
    <w:rsid w:val="00A8253C"/>
    <w:rsid w:val="00A91855"/>
    <w:rsid w:val="00AA1170"/>
    <w:rsid w:val="00AA1EA0"/>
    <w:rsid w:val="00AA26A5"/>
    <w:rsid w:val="00AA2F49"/>
    <w:rsid w:val="00AB0F92"/>
    <w:rsid w:val="00AB1333"/>
    <w:rsid w:val="00AB28BB"/>
    <w:rsid w:val="00AB495B"/>
    <w:rsid w:val="00AE3BF9"/>
    <w:rsid w:val="00AE5403"/>
    <w:rsid w:val="00B03F76"/>
    <w:rsid w:val="00B07D87"/>
    <w:rsid w:val="00B11BF9"/>
    <w:rsid w:val="00B17A6D"/>
    <w:rsid w:val="00B21E28"/>
    <w:rsid w:val="00B24267"/>
    <w:rsid w:val="00B2648A"/>
    <w:rsid w:val="00B31CF9"/>
    <w:rsid w:val="00B4067A"/>
    <w:rsid w:val="00B51392"/>
    <w:rsid w:val="00B5386F"/>
    <w:rsid w:val="00B560C8"/>
    <w:rsid w:val="00B605FF"/>
    <w:rsid w:val="00B64945"/>
    <w:rsid w:val="00B759C2"/>
    <w:rsid w:val="00B759CB"/>
    <w:rsid w:val="00B76E17"/>
    <w:rsid w:val="00B90018"/>
    <w:rsid w:val="00B95B38"/>
    <w:rsid w:val="00BB30AB"/>
    <w:rsid w:val="00BB3614"/>
    <w:rsid w:val="00BC5C43"/>
    <w:rsid w:val="00BD164A"/>
    <w:rsid w:val="00BD60CB"/>
    <w:rsid w:val="00BD6B4B"/>
    <w:rsid w:val="00BE0662"/>
    <w:rsid w:val="00BE1827"/>
    <w:rsid w:val="00BE631D"/>
    <w:rsid w:val="00BF03BE"/>
    <w:rsid w:val="00BF59F8"/>
    <w:rsid w:val="00C0603B"/>
    <w:rsid w:val="00C209AF"/>
    <w:rsid w:val="00C21D91"/>
    <w:rsid w:val="00C255E2"/>
    <w:rsid w:val="00C31182"/>
    <w:rsid w:val="00C56EAF"/>
    <w:rsid w:val="00C5776D"/>
    <w:rsid w:val="00C60B25"/>
    <w:rsid w:val="00C61CA2"/>
    <w:rsid w:val="00C63A4D"/>
    <w:rsid w:val="00C80638"/>
    <w:rsid w:val="00C93FB0"/>
    <w:rsid w:val="00C9619D"/>
    <w:rsid w:val="00C9644B"/>
    <w:rsid w:val="00CA4221"/>
    <w:rsid w:val="00CB12AE"/>
    <w:rsid w:val="00CB4013"/>
    <w:rsid w:val="00CB4C24"/>
    <w:rsid w:val="00CC1BA0"/>
    <w:rsid w:val="00CC2870"/>
    <w:rsid w:val="00CD38F9"/>
    <w:rsid w:val="00CD4B94"/>
    <w:rsid w:val="00CD693F"/>
    <w:rsid w:val="00CE14BE"/>
    <w:rsid w:val="00CF228A"/>
    <w:rsid w:val="00CF24DA"/>
    <w:rsid w:val="00CF6418"/>
    <w:rsid w:val="00D048A5"/>
    <w:rsid w:val="00D04F7A"/>
    <w:rsid w:val="00D069BD"/>
    <w:rsid w:val="00D24FA5"/>
    <w:rsid w:val="00D2564A"/>
    <w:rsid w:val="00D257A0"/>
    <w:rsid w:val="00D30C3B"/>
    <w:rsid w:val="00D419D1"/>
    <w:rsid w:val="00D43DFE"/>
    <w:rsid w:val="00D45439"/>
    <w:rsid w:val="00D5349E"/>
    <w:rsid w:val="00D567EE"/>
    <w:rsid w:val="00D61D67"/>
    <w:rsid w:val="00D62EB7"/>
    <w:rsid w:val="00D64F6B"/>
    <w:rsid w:val="00D7352D"/>
    <w:rsid w:val="00D768F6"/>
    <w:rsid w:val="00D8299D"/>
    <w:rsid w:val="00D83A39"/>
    <w:rsid w:val="00D85A5F"/>
    <w:rsid w:val="00D921E6"/>
    <w:rsid w:val="00D933FB"/>
    <w:rsid w:val="00D9420B"/>
    <w:rsid w:val="00DA5BC6"/>
    <w:rsid w:val="00DB3705"/>
    <w:rsid w:val="00DB6E8B"/>
    <w:rsid w:val="00DC401E"/>
    <w:rsid w:val="00DC42FA"/>
    <w:rsid w:val="00DC4FFF"/>
    <w:rsid w:val="00DC5869"/>
    <w:rsid w:val="00DD28A8"/>
    <w:rsid w:val="00DE231F"/>
    <w:rsid w:val="00DE35A2"/>
    <w:rsid w:val="00E03B20"/>
    <w:rsid w:val="00E05F5F"/>
    <w:rsid w:val="00E119F6"/>
    <w:rsid w:val="00E27C75"/>
    <w:rsid w:val="00E3232E"/>
    <w:rsid w:val="00E37A7C"/>
    <w:rsid w:val="00E4135E"/>
    <w:rsid w:val="00E43624"/>
    <w:rsid w:val="00E514BE"/>
    <w:rsid w:val="00E51800"/>
    <w:rsid w:val="00E557BB"/>
    <w:rsid w:val="00E57111"/>
    <w:rsid w:val="00E60901"/>
    <w:rsid w:val="00E62143"/>
    <w:rsid w:val="00E6261B"/>
    <w:rsid w:val="00E663F1"/>
    <w:rsid w:val="00E66C75"/>
    <w:rsid w:val="00E90BA4"/>
    <w:rsid w:val="00E9184F"/>
    <w:rsid w:val="00E91C67"/>
    <w:rsid w:val="00E924B1"/>
    <w:rsid w:val="00EA0AAE"/>
    <w:rsid w:val="00EA69FA"/>
    <w:rsid w:val="00EB7D03"/>
    <w:rsid w:val="00EB7FFE"/>
    <w:rsid w:val="00EC4722"/>
    <w:rsid w:val="00ED205A"/>
    <w:rsid w:val="00ED6AAA"/>
    <w:rsid w:val="00EE2113"/>
    <w:rsid w:val="00EF1F1E"/>
    <w:rsid w:val="00F01AA2"/>
    <w:rsid w:val="00F04E91"/>
    <w:rsid w:val="00F05CCC"/>
    <w:rsid w:val="00F2149C"/>
    <w:rsid w:val="00F237E0"/>
    <w:rsid w:val="00F248F3"/>
    <w:rsid w:val="00F257DD"/>
    <w:rsid w:val="00F264A0"/>
    <w:rsid w:val="00F267C4"/>
    <w:rsid w:val="00F4313A"/>
    <w:rsid w:val="00F43CA5"/>
    <w:rsid w:val="00F454BF"/>
    <w:rsid w:val="00F5405C"/>
    <w:rsid w:val="00F61513"/>
    <w:rsid w:val="00F63966"/>
    <w:rsid w:val="00F76A5B"/>
    <w:rsid w:val="00F77909"/>
    <w:rsid w:val="00F8180B"/>
    <w:rsid w:val="00F91943"/>
    <w:rsid w:val="00F974F2"/>
    <w:rsid w:val="00FA4399"/>
    <w:rsid w:val="00FA6B43"/>
    <w:rsid w:val="00FB48DF"/>
    <w:rsid w:val="00FB5204"/>
    <w:rsid w:val="00FB6129"/>
    <w:rsid w:val="00FB7274"/>
    <w:rsid w:val="00FC29C6"/>
    <w:rsid w:val="00FD75F8"/>
    <w:rsid w:val="00FE1E4C"/>
    <w:rsid w:val="00FE3A35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5DD52-117F-4E1B-BCDB-A2B49B4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E71"/>
  </w:style>
  <w:style w:type="paragraph" w:styleId="Heading4">
    <w:name w:val="heading 4"/>
    <w:basedOn w:val="Normal"/>
    <w:link w:val="Heading4Char"/>
    <w:uiPriority w:val="9"/>
    <w:qFormat/>
    <w:rsid w:val="006931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E"/>
    <w:pPr>
      <w:ind w:left="720"/>
      <w:contextualSpacing/>
    </w:pPr>
  </w:style>
  <w:style w:type="table" w:styleId="TableGrid">
    <w:name w:val="Table Grid"/>
    <w:basedOn w:val="TableNormal"/>
    <w:uiPriority w:val="59"/>
    <w:rsid w:val="00E1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04"/>
  </w:style>
  <w:style w:type="paragraph" w:styleId="Footer">
    <w:name w:val="footer"/>
    <w:basedOn w:val="Normal"/>
    <w:link w:val="Foot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04"/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1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1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A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82A"/>
  </w:style>
  <w:style w:type="paragraph" w:customStyle="1" w:styleId="Default">
    <w:name w:val="Default"/>
    <w:rsid w:val="003529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o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AD1-9EAC-4C2C-ACB0-CDD7A25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Kristina</cp:lastModifiedBy>
  <cp:revision>25</cp:revision>
  <cp:lastPrinted>2022-08-03T07:34:00Z</cp:lastPrinted>
  <dcterms:created xsi:type="dcterms:W3CDTF">2022-08-02T06:37:00Z</dcterms:created>
  <dcterms:modified xsi:type="dcterms:W3CDTF">2022-08-03T08:12:00Z</dcterms:modified>
</cp:coreProperties>
</file>