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B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МИОНИЦА 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буџет и финансије</w:t>
      </w:r>
    </w:p>
    <w:p w:rsidR="00916068" w:rsidRPr="0022085B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B12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400-</w:t>
      </w:r>
      <w:r w:rsidR="00114CEC">
        <w:rPr>
          <w:rFonts w:ascii="Times New Roman" w:hAnsi="Times New Roman" w:cs="Times New Roman"/>
          <w:b/>
          <w:sz w:val="24"/>
          <w:szCs w:val="24"/>
        </w:rPr>
        <w:t>54</w:t>
      </w:r>
      <w:r w:rsidR="0022085B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22085B">
        <w:rPr>
          <w:rFonts w:ascii="Times New Roman" w:hAnsi="Times New Roman" w:cs="Times New Roman"/>
          <w:b/>
          <w:sz w:val="24"/>
          <w:szCs w:val="24"/>
        </w:rPr>
        <w:t>20</w:t>
      </w:r>
    </w:p>
    <w:p w:rsidR="00916068" w:rsidRPr="0048321A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220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EC">
        <w:rPr>
          <w:rFonts w:ascii="Times New Roman" w:hAnsi="Times New Roman" w:cs="Times New Roman"/>
          <w:b/>
          <w:sz w:val="24"/>
          <w:szCs w:val="24"/>
        </w:rPr>
        <w:t>18</w:t>
      </w:r>
      <w:r w:rsidR="0022085B">
        <w:rPr>
          <w:rFonts w:ascii="Times New Roman" w:hAnsi="Times New Roman" w:cs="Times New Roman"/>
          <w:b/>
          <w:sz w:val="24"/>
          <w:szCs w:val="24"/>
        </w:rPr>
        <w:t>.</w:t>
      </w:r>
      <w:r w:rsidR="00114CEC">
        <w:rPr>
          <w:rFonts w:ascii="Times New Roman" w:hAnsi="Times New Roman" w:cs="Times New Roman"/>
          <w:b/>
          <w:sz w:val="24"/>
          <w:szCs w:val="24"/>
        </w:rPr>
        <w:t>09</w:t>
      </w:r>
      <w:r w:rsidR="0022085B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22085B">
        <w:rPr>
          <w:rFonts w:ascii="Times New Roman" w:hAnsi="Times New Roman" w:cs="Times New Roman"/>
          <w:b/>
          <w:sz w:val="24"/>
          <w:szCs w:val="24"/>
        </w:rPr>
        <w:t>20</w:t>
      </w:r>
      <w:r w:rsidR="00916068"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.година </w:t>
      </w:r>
    </w:p>
    <w:p w:rsidR="00916068" w:rsidRPr="00916068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D87" w:rsidRPr="00426298" w:rsidRDefault="00B07D87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На основу члана 40. Закона о буџетском систему (''Сл.гласник РС'', бр. 54/09, 73/10, 101/10, 101/11,</w:t>
      </w:r>
      <w:r w:rsidR="00426298">
        <w:rPr>
          <w:rFonts w:ascii="Times New Roman" w:hAnsi="Times New Roman" w:cs="Times New Roman"/>
          <w:sz w:val="24"/>
          <w:szCs w:val="24"/>
        </w:rPr>
        <w:t xml:space="preserve"> 93/12,</w:t>
      </w:r>
      <w:r w:rsidRPr="00B07D87">
        <w:rPr>
          <w:rFonts w:ascii="Times New Roman" w:hAnsi="Times New Roman" w:cs="Times New Roman"/>
          <w:sz w:val="24"/>
          <w:szCs w:val="24"/>
        </w:rPr>
        <w:t xml:space="preserve"> 62/13, 63/13, 108/13, </w:t>
      </w:r>
      <w:r w:rsidR="0022085B">
        <w:rPr>
          <w:rFonts w:ascii="Times New Roman" w:hAnsi="Times New Roman" w:cs="Times New Roman"/>
          <w:sz w:val="24"/>
          <w:szCs w:val="24"/>
        </w:rPr>
        <w:t>142/</w:t>
      </w:r>
      <w:r w:rsidRPr="00B07D87">
        <w:rPr>
          <w:rFonts w:ascii="Times New Roman" w:hAnsi="Times New Roman" w:cs="Times New Roman"/>
          <w:sz w:val="24"/>
          <w:szCs w:val="24"/>
        </w:rPr>
        <w:t>14</w:t>
      </w:r>
      <w:r w:rsidR="00F04E91">
        <w:rPr>
          <w:rFonts w:ascii="Times New Roman" w:hAnsi="Times New Roman" w:cs="Times New Roman"/>
          <w:sz w:val="24"/>
          <w:szCs w:val="24"/>
        </w:rPr>
        <w:t>,</w:t>
      </w:r>
      <w:r w:rsidR="00B759C2">
        <w:rPr>
          <w:rFonts w:ascii="Times New Roman" w:hAnsi="Times New Roman" w:cs="Times New Roman"/>
          <w:sz w:val="24"/>
          <w:szCs w:val="24"/>
        </w:rPr>
        <w:t>103/15,</w:t>
      </w:r>
      <w:r w:rsidR="0022085B">
        <w:rPr>
          <w:rFonts w:ascii="Times New Roman" w:hAnsi="Times New Roman" w:cs="Times New Roman"/>
          <w:sz w:val="24"/>
          <w:szCs w:val="24"/>
        </w:rPr>
        <w:t xml:space="preserve"> 99/</w:t>
      </w:r>
      <w:r w:rsidR="00F04E91">
        <w:rPr>
          <w:rFonts w:ascii="Times New Roman" w:hAnsi="Times New Roman" w:cs="Times New Roman"/>
          <w:sz w:val="24"/>
          <w:szCs w:val="24"/>
        </w:rPr>
        <w:t>16</w:t>
      </w:r>
      <w:r w:rsidR="0022085B">
        <w:rPr>
          <w:rFonts w:ascii="Times New Roman" w:hAnsi="Times New Roman" w:cs="Times New Roman"/>
          <w:sz w:val="24"/>
          <w:szCs w:val="24"/>
        </w:rPr>
        <w:t>,</w:t>
      </w:r>
      <w:r w:rsidR="00B759C2">
        <w:rPr>
          <w:rFonts w:ascii="Times New Roman" w:hAnsi="Times New Roman" w:cs="Times New Roman"/>
          <w:sz w:val="24"/>
          <w:szCs w:val="24"/>
        </w:rPr>
        <w:t xml:space="preserve"> 113/17</w:t>
      </w:r>
      <w:r w:rsidR="0022085B">
        <w:rPr>
          <w:rFonts w:ascii="Times New Roman" w:hAnsi="Times New Roman" w:cs="Times New Roman"/>
          <w:sz w:val="24"/>
          <w:szCs w:val="24"/>
        </w:rPr>
        <w:t>, 95/18, 31/19 и 72/19</w:t>
      </w:r>
      <w:r w:rsidRPr="00B07D87">
        <w:rPr>
          <w:rFonts w:ascii="Times New Roman" w:hAnsi="Times New Roman" w:cs="Times New Roman"/>
          <w:sz w:val="24"/>
          <w:szCs w:val="24"/>
        </w:rPr>
        <w:t xml:space="preserve">), </w:t>
      </w:r>
      <w:r w:rsidR="0022085B">
        <w:rPr>
          <w:rFonts w:ascii="Times New Roman" w:hAnsi="Times New Roman" w:cs="Times New Roman"/>
          <w:sz w:val="24"/>
          <w:szCs w:val="24"/>
        </w:rPr>
        <w:t>а у складу са Упутством</w:t>
      </w:r>
      <w:r w:rsidR="00426298">
        <w:rPr>
          <w:rFonts w:ascii="Times New Roman" w:hAnsi="Times New Roman" w:cs="Times New Roman"/>
          <w:sz w:val="24"/>
          <w:szCs w:val="24"/>
        </w:rPr>
        <w:t xml:space="preserve"> Министарства финансија</w:t>
      </w:r>
      <w:r w:rsidR="0022085B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 xml:space="preserve">за припрему Одлуке о буџету локалне власти за 2021. годину са пројекцијама за 2022. и 2023.годину од 10.07.2020.године, </w:t>
      </w:r>
      <w:r w:rsidRPr="00B07D87">
        <w:rPr>
          <w:rFonts w:ascii="Times New Roman" w:hAnsi="Times New Roman" w:cs="Times New Roman"/>
          <w:sz w:val="24"/>
          <w:szCs w:val="24"/>
        </w:rPr>
        <w:t>Општинска</w:t>
      </w:r>
      <w:r w:rsidR="00916068">
        <w:rPr>
          <w:rFonts w:ascii="Times New Roman" w:hAnsi="Times New Roman" w:cs="Times New Roman"/>
          <w:sz w:val="24"/>
          <w:szCs w:val="24"/>
        </w:rPr>
        <w:t xml:space="preserve"> управа 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Мионица-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Одељење за буџет и финансије,</w:t>
      </w:r>
      <w:r w:rsidR="0022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02FD">
        <w:rPr>
          <w:rFonts w:ascii="Times New Roman" w:hAnsi="Times New Roman" w:cs="Times New Roman"/>
          <w:sz w:val="24"/>
          <w:szCs w:val="24"/>
        </w:rPr>
        <w:t>до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>носи</w:t>
      </w:r>
    </w:p>
    <w:p w:rsidR="00B07D87" w:rsidRPr="00B07D87" w:rsidRDefault="00B07D87" w:rsidP="00953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07D87" w:rsidRPr="00916068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916068">
        <w:rPr>
          <w:rFonts w:ascii="Times New Roman" w:hAnsi="Times New Roman" w:cs="Times New Roman"/>
          <w:b/>
          <w:bCs/>
          <w:color w:val="000000"/>
          <w:sz w:val="52"/>
          <w:szCs w:val="52"/>
        </w:rPr>
        <w:t>УПУТСТВО</w:t>
      </w:r>
    </w:p>
    <w:p w:rsidR="002972FF" w:rsidRPr="009947D5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ПРИПРЕМУ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ОДЛУКЕ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БУЏЕТА ОПШТИНЕ</w:t>
      </w:r>
      <w:r w:rsidR="00A378E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>МИОНИЦА</w:t>
      </w:r>
      <w:r w:rsidR="0042629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ЗА 2021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. ГОДИНУ</w:t>
      </w:r>
      <w:r w:rsidR="00B759C2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="009947D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 ПРОЈЕКЦИЈА ЗА 2022. И 2023. ГОДИНУ</w:t>
      </w:r>
    </w:p>
    <w:p w:rsidR="00B759C2" w:rsidRPr="00916068" w:rsidRDefault="00B759C2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</w:pPr>
    </w:p>
    <w:p w:rsidR="002972FF" w:rsidRDefault="002972FF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Pr="00B759C2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74" w:rsidRDefault="00965274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87" w:rsidRPr="00383559" w:rsidRDefault="00B07D87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559">
        <w:rPr>
          <w:rFonts w:ascii="Times New Roman" w:hAnsi="Times New Roman" w:cs="Times New Roman"/>
          <w:b/>
          <w:i/>
          <w:sz w:val="24"/>
          <w:szCs w:val="24"/>
        </w:rPr>
        <w:t>УВОД</w:t>
      </w:r>
    </w:p>
    <w:p w:rsidR="00F05CCC" w:rsidRPr="00F05CCC" w:rsidRDefault="00F05CCC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F1" w:rsidRPr="001A45B1" w:rsidRDefault="00CF24DA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05CCC" w:rsidRPr="00F05CCC">
        <w:rPr>
          <w:rFonts w:ascii="Times New Roman" w:hAnsi="Times New Roman" w:cs="Times New Roman"/>
          <w:sz w:val="24"/>
          <w:szCs w:val="24"/>
          <w:lang w:val="sr-Cyrl-CS"/>
        </w:rPr>
        <w:t>Упутство</w:t>
      </w:r>
      <w:r w:rsidR="001A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садржи основне економске претпоставке,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смернице ,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оквире и рокове 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основу којих су буџетски корисници у обавези да израде Предлог финансијс</w:t>
      </w:r>
      <w:r w:rsidR="00426298">
        <w:rPr>
          <w:rFonts w:ascii="Times New Roman" w:hAnsi="Times New Roman" w:cs="Times New Roman"/>
          <w:sz w:val="24"/>
          <w:szCs w:val="24"/>
          <w:lang w:val="sr-Cyrl-CS"/>
        </w:rPr>
        <w:t xml:space="preserve">ког плана за 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1A45B1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1A45B1">
        <w:rPr>
          <w:rFonts w:ascii="Times New Roman" w:hAnsi="Times New Roman" w:cs="Times New Roman"/>
          <w:sz w:val="24"/>
          <w:szCs w:val="24"/>
        </w:rPr>
        <w:t>.</w:t>
      </w:r>
    </w:p>
    <w:p w:rsidR="00F05CCC" w:rsidRPr="007E1A25" w:rsidRDefault="00CF24DA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припреме </w:t>
      </w:r>
      <w:r w:rsidR="00BB3614">
        <w:rPr>
          <w:rFonts w:ascii="Times New Roman" w:hAnsi="Times New Roman" w:cs="Times New Roman"/>
          <w:sz w:val="24"/>
          <w:szCs w:val="24"/>
          <w:lang w:val="sr-Cyrl-CS"/>
        </w:rPr>
        <w:t>и доношења буџета локалне власт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и уређен је Законом о буџетском систему </w:t>
      </w:r>
      <w:r w:rsidR="00F05CCC" w:rsidRPr="00B07D87">
        <w:rPr>
          <w:rFonts w:ascii="Times New Roman" w:hAnsi="Times New Roman" w:cs="Times New Roman"/>
          <w:sz w:val="24"/>
          <w:szCs w:val="24"/>
        </w:rPr>
        <w:t>(''Сл.гласник РС'', бр. 54/09, 73/10, 101/10, 101/</w:t>
      </w:r>
      <w:r w:rsidR="00426298">
        <w:rPr>
          <w:rFonts w:ascii="Times New Roman" w:hAnsi="Times New Roman" w:cs="Times New Roman"/>
          <w:sz w:val="24"/>
          <w:szCs w:val="24"/>
        </w:rPr>
        <w:t>11,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93/12, 62/13, 63/13, 108/13, 142/</w:t>
      </w:r>
      <w:r w:rsidR="00F05CCC" w:rsidRPr="00B07D87">
        <w:rPr>
          <w:rFonts w:ascii="Times New Roman" w:hAnsi="Times New Roman" w:cs="Times New Roman"/>
          <w:sz w:val="24"/>
          <w:szCs w:val="24"/>
        </w:rPr>
        <w:t>14</w:t>
      </w:r>
      <w:r w:rsidR="00426298">
        <w:rPr>
          <w:rFonts w:ascii="Times New Roman" w:hAnsi="Times New Roman" w:cs="Times New Roman"/>
          <w:sz w:val="24"/>
          <w:szCs w:val="24"/>
        </w:rPr>
        <w:t>,</w:t>
      </w:r>
      <w:r w:rsidR="007E1A25">
        <w:rPr>
          <w:rFonts w:ascii="Times New Roman" w:hAnsi="Times New Roman" w:cs="Times New Roman"/>
          <w:sz w:val="24"/>
          <w:szCs w:val="24"/>
        </w:rPr>
        <w:t>68/15,</w:t>
      </w:r>
      <w:r w:rsidR="00426298">
        <w:rPr>
          <w:rFonts w:ascii="Times New Roman" w:hAnsi="Times New Roman" w:cs="Times New Roman"/>
          <w:sz w:val="24"/>
          <w:szCs w:val="24"/>
        </w:rPr>
        <w:t>103/15, 99/</w:t>
      </w:r>
      <w:r w:rsidR="00F05CCC">
        <w:rPr>
          <w:rFonts w:ascii="Times New Roman" w:hAnsi="Times New Roman" w:cs="Times New Roman"/>
          <w:sz w:val="24"/>
          <w:szCs w:val="24"/>
        </w:rPr>
        <w:t>16</w:t>
      </w:r>
      <w:r w:rsidR="007E1A25">
        <w:rPr>
          <w:rFonts w:ascii="Times New Roman" w:hAnsi="Times New Roman" w:cs="Times New Roman"/>
          <w:sz w:val="24"/>
          <w:szCs w:val="24"/>
        </w:rPr>
        <w:t>,</w:t>
      </w:r>
      <w:r w:rsidR="00F05CCC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95/18, 31/19,  72/19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</w:rPr>
        <w:t>).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13" w:rsidRPr="007E1A25" w:rsidRDefault="007E1A25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813">
        <w:rPr>
          <w:rFonts w:ascii="Times New Roman" w:hAnsi="Times New Roman" w:cs="Times New Roman"/>
          <w:sz w:val="24"/>
          <w:szCs w:val="24"/>
        </w:rPr>
        <w:t>На основу члана 31.</w:t>
      </w:r>
      <w:r w:rsidR="002F7813" w:rsidRPr="007C6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781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2F7813">
        <w:rPr>
          <w:rFonts w:ascii="Times New Roman" w:hAnsi="Times New Roman" w:cs="Times New Roman"/>
          <w:sz w:val="24"/>
          <w:szCs w:val="24"/>
        </w:rPr>
        <w:t>a</w:t>
      </w:r>
      <w:r w:rsidR="002F7813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="002F7813">
        <w:rPr>
          <w:rFonts w:ascii="Times New Roman" w:hAnsi="Times New Roman" w:cs="Times New Roman"/>
          <w:sz w:val="24"/>
          <w:szCs w:val="24"/>
        </w:rPr>
        <w:t>, по буџетском календару, министар финансија доставља Упутство за припрему Одлуке о буџету локалне власти као и Фискалну стратегију до 5.</w:t>
      </w:r>
      <w:r w:rsidR="0019176C">
        <w:rPr>
          <w:rFonts w:ascii="Times New Roman" w:hAnsi="Times New Roman" w:cs="Times New Roman"/>
          <w:sz w:val="24"/>
          <w:szCs w:val="24"/>
        </w:rPr>
        <w:t xml:space="preserve"> </w:t>
      </w:r>
      <w:r w:rsidR="002F7813">
        <w:rPr>
          <w:rFonts w:ascii="Times New Roman" w:hAnsi="Times New Roman" w:cs="Times New Roman"/>
          <w:sz w:val="24"/>
          <w:szCs w:val="24"/>
        </w:rPr>
        <w:t>јула текуће године.</w:t>
      </w:r>
    </w:p>
    <w:p w:rsidR="00D9420B" w:rsidRPr="00B5386F" w:rsidRDefault="0019176C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Чланом 40.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буџетском систему  предвиђено је</w:t>
      </w:r>
      <w:r w:rsidR="00D04F7A">
        <w:rPr>
          <w:rFonts w:ascii="Times New Roman" w:hAnsi="Times New Roman" w:cs="Times New Roman"/>
          <w:sz w:val="24"/>
          <w:szCs w:val="24"/>
        </w:rPr>
        <w:t xml:space="preserve"> да по добијању Фискалне стратегије, локални орган управе надлежан за финансије доставља директним и индиректним корисницима буџета У</w:t>
      </w:r>
      <w:r w:rsidR="00D9420B">
        <w:rPr>
          <w:rFonts w:ascii="Times New Roman" w:hAnsi="Times New Roman" w:cs="Times New Roman"/>
          <w:sz w:val="24"/>
          <w:szCs w:val="24"/>
        </w:rPr>
        <w:t>пут</w:t>
      </w:r>
      <w:r w:rsidR="00D04F7A">
        <w:rPr>
          <w:rFonts w:ascii="Times New Roman" w:hAnsi="Times New Roman" w:cs="Times New Roman"/>
          <w:sz w:val="24"/>
          <w:szCs w:val="24"/>
        </w:rPr>
        <w:t xml:space="preserve">ство за припрему буџета. </w:t>
      </w:r>
    </w:p>
    <w:p w:rsidR="00725C7C" w:rsidRDefault="00B5386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C7C">
        <w:rPr>
          <w:rFonts w:ascii="Times New Roman" w:hAnsi="Times New Roman" w:cs="Times New Roman"/>
          <w:sz w:val="24"/>
          <w:szCs w:val="24"/>
        </w:rPr>
        <w:t>Чланом 41. Закона о буџетском систему дефинисано је да су индирек</w:t>
      </w:r>
      <w:r>
        <w:rPr>
          <w:rFonts w:ascii="Times New Roman" w:hAnsi="Times New Roman" w:cs="Times New Roman"/>
          <w:sz w:val="24"/>
          <w:szCs w:val="24"/>
        </w:rPr>
        <w:t xml:space="preserve">тни корисници средстава буџета </w:t>
      </w:r>
      <w:r w:rsidR="00725C7C">
        <w:rPr>
          <w:rFonts w:ascii="Times New Roman" w:hAnsi="Times New Roman" w:cs="Times New Roman"/>
          <w:sz w:val="24"/>
          <w:szCs w:val="24"/>
        </w:rPr>
        <w:t xml:space="preserve">локалне власти обавезни да припреме предлог финансијског плана на основу смерница који се односи на буџет локалне власти. Директни корисници обавезни су да у складу са смерницама  </w:t>
      </w:r>
      <w:r w:rsidR="00077C7C">
        <w:rPr>
          <w:rFonts w:ascii="Times New Roman" w:hAnsi="Times New Roman" w:cs="Times New Roman"/>
          <w:sz w:val="24"/>
          <w:szCs w:val="24"/>
        </w:rPr>
        <w:t>и роковима, траже од индиректних корисника за које су одговорни, да доставе податке неопходне за израду предлога финансијског плана директног буџетског корисника. Предвиђено је и да локални орган управе надлежан за финансије може да тражи непосредно од индиректних корисника податке о финансирању који су потребни за припрему предлога Одлуке о буџету локалне власти.</w:t>
      </w:r>
    </w:p>
    <w:p w:rsidR="00B5386F" w:rsidRPr="00B5386F" w:rsidRDefault="00B5386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Уколико Одлука о буџету локалне власти буде супротна смерницама из Упуства које доставља министар у делу којим се локалној власти дају смернице за планирање масе средстава за плате, броја запослених и субвенција, министар може привремено обуставити пренос трансферних средстава из буџета Републике Србије све док се Одлука о буџету не усклади са Упутством.</w:t>
      </w:r>
    </w:p>
    <w:p w:rsidR="002900B1" w:rsidRDefault="002900B1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C7C" w:rsidRPr="00383559" w:rsidRDefault="00077C7C" w:rsidP="00077C7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3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Програмска структура </w:t>
      </w:r>
      <w:r w:rsidR="00343DF3" w:rsidRPr="00383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буџета</w:t>
      </w:r>
    </w:p>
    <w:p w:rsidR="00EA0AAE" w:rsidRDefault="00EA0AAE" w:rsidP="00EA0AA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AAE" w:rsidRPr="00EA0AAE" w:rsidRDefault="005B4388" w:rsidP="007D3A7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AAE" w:rsidRPr="00EA0AAE">
        <w:rPr>
          <w:rFonts w:ascii="Times New Roman" w:hAnsi="Times New Roman" w:cs="Times New Roman"/>
          <w:sz w:val="24"/>
          <w:szCs w:val="24"/>
          <w:lang w:val="sr-Cyrl-CS"/>
        </w:rPr>
        <w:t>Унапређење буџетског процеса кроз примену програмског буџетирања</w:t>
      </w:r>
    </w:p>
    <w:p w:rsidR="00EA0AAE" w:rsidRPr="00EA0AAE" w:rsidRDefault="00EA0AAE" w:rsidP="007D3A7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AAE">
        <w:rPr>
          <w:rFonts w:ascii="Times New Roman" w:hAnsi="Times New Roman" w:cs="Times New Roman"/>
          <w:sz w:val="24"/>
          <w:szCs w:val="24"/>
          <w:lang w:val="sr-Cyrl-CS"/>
        </w:rPr>
        <w:t>представља део реформе управљања јавним финансијама којим се ставља нагласак на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утврђивање приоритета и оптимизацију потрошње у циљу подстицања привредног раста и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ефикасног пружања квалитетних услуга јавне управе.</w:t>
      </w:r>
    </w:p>
    <w:p w:rsidR="00077C7C" w:rsidRDefault="00EA0AAE" w:rsidP="005B43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0A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Упутство за израду програмског буџета, као и Анекс 5 којим је дефинисана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униформна програмска струкура буџета ЈЛС за израду одлуке о буџету ЈЛС за 2021. годину и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документ који садржи циљеве програма и програмских активности и листу униформних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индикатора могу се наћи на сајту Министарства финансија (</w:t>
      </w:r>
      <w:hyperlink r:id="rId8" w:history="1">
        <w:r w:rsidRPr="0095675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www.mfin.gov.rs</w:t>
        </w:r>
      </w:hyperlink>
      <w:r w:rsidRPr="00EA0AA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EA0AAE" w:rsidRPr="00EA0AAE" w:rsidRDefault="005B4388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0AAE" w:rsidRPr="00EA0AAE">
        <w:rPr>
          <w:rFonts w:ascii="Times New Roman" w:hAnsi="Times New Roman" w:cs="Times New Roman"/>
          <w:sz w:val="24"/>
          <w:szCs w:val="24"/>
        </w:rPr>
        <w:t>Прелазак са линијског буџета на програмски буџет, значајно је утицао на измену</w:t>
      </w:r>
    </w:p>
    <w:p w:rsidR="00EA0AAE" w:rsidRDefault="00EA0AAE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0AAE">
        <w:rPr>
          <w:rFonts w:ascii="Times New Roman" w:hAnsi="Times New Roman" w:cs="Times New Roman"/>
          <w:sz w:val="24"/>
          <w:szCs w:val="24"/>
        </w:rPr>
        <w:t>начина израде финансијских планова, извршење буџета</w:t>
      </w:r>
      <w:r>
        <w:rPr>
          <w:rFonts w:ascii="Times New Roman" w:hAnsi="Times New Roman" w:cs="Times New Roman"/>
          <w:sz w:val="24"/>
          <w:szCs w:val="24"/>
        </w:rPr>
        <w:t xml:space="preserve"> као и праћење извршења буџета. </w:t>
      </w:r>
      <w:r w:rsidRPr="00EA0AAE">
        <w:rPr>
          <w:rFonts w:ascii="Times New Roman" w:hAnsi="Times New Roman" w:cs="Times New Roman"/>
          <w:sz w:val="24"/>
          <w:szCs w:val="24"/>
        </w:rPr>
        <w:t>Прелазак на програмски буџет, праћење извршења то</w:t>
      </w:r>
      <w:r>
        <w:rPr>
          <w:rFonts w:ascii="Times New Roman" w:hAnsi="Times New Roman" w:cs="Times New Roman"/>
          <w:sz w:val="24"/>
          <w:szCs w:val="24"/>
        </w:rPr>
        <w:t xml:space="preserve">г буџета, извршење рекламација, </w:t>
      </w:r>
      <w:r w:rsidRPr="00EA0AAE">
        <w:rPr>
          <w:rFonts w:ascii="Times New Roman" w:hAnsi="Times New Roman" w:cs="Times New Roman"/>
          <w:sz w:val="24"/>
          <w:szCs w:val="24"/>
        </w:rPr>
        <w:t>рефундација и повраћаја средстава из буџета, захтева и пр</w:t>
      </w:r>
      <w:r>
        <w:rPr>
          <w:rFonts w:ascii="Times New Roman" w:hAnsi="Times New Roman" w:cs="Times New Roman"/>
          <w:sz w:val="24"/>
          <w:szCs w:val="24"/>
        </w:rPr>
        <w:t xml:space="preserve">омену структуре елемента </w:t>
      </w:r>
      <w:r w:rsidRPr="00EA0AAE">
        <w:rPr>
          <w:rFonts w:ascii="Times New Roman" w:hAnsi="Times New Roman" w:cs="Times New Roman"/>
          <w:b/>
          <w:sz w:val="24"/>
          <w:szCs w:val="24"/>
        </w:rPr>
        <w:t>„позив на број задужења</w:t>
      </w:r>
      <w:r w:rsidRPr="00EA0AAE">
        <w:rPr>
          <w:rFonts w:ascii="Times New Roman" w:hAnsi="Times New Roman" w:cs="Times New Roman"/>
          <w:sz w:val="24"/>
          <w:szCs w:val="24"/>
        </w:rPr>
        <w:t>“ на платним налозима које испостављају корисници буџетских средстава.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 xml:space="preserve">Из наведених разлога, а ради ефикасног праћења </w:t>
      </w:r>
      <w:r w:rsidRPr="00EA0AAE">
        <w:rPr>
          <w:rFonts w:ascii="Times New Roman" w:hAnsi="Times New Roman" w:cs="Times New Roman"/>
          <w:sz w:val="24"/>
          <w:szCs w:val="24"/>
        </w:rPr>
        <w:lastRenderedPageBreak/>
        <w:t>извршења буџета јединица локалне власти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>односу на донете одлуке о буџетима јединица локалне власти, извршено је мапирање програма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>(сваком програму је додељена словна ознака).</w:t>
      </w:r>
      <w:r w:rsidRPr="00EA0AAE"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>У структури елемента „позив на број задужења”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>за јединице локалне власти ће се налазити словна ознака програма у складу са следећом</w:t>
      </w:r>
      <w:r w:rsidR="003A10E9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</w:rPr>
        <w:t>табелом:</w:t>
      </w:r>
    </w:p>
    <w:p w:rsidR="00EA0AAE" w:rsidRDefault="00EA0AAE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AAE" w:rsidRDefault="00EA0AAE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993"/>
        <w:gridCol w:w="5917"/>
      </w:tblGrid>
      <w:tr w:rsidR="0059723C" w:rsidTr="0059723C">
        <w:tc>
          <w:tcPr>
            <w:tcW w:w="1101" w:type="dxa"/>
          </w:tcPr>
          <w:p w:rsid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Словна </w:t>
            </w:r>
          </w:p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</w:p>
        </w:tc>
        <w:tc>
          <w:tcPr>
            <w:tcW w:w="1275" w:type="dxa"/>
          </w:tcPr>
          <w:p w:rsid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</w:p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5917" w:type="dxa"/>
          </w:tcPr>
          <w:p w:rsidR="0059723C" w:rsidRPr="0059723C" w:rsidRDefault="003F2D45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</w:tr>
      <w:tr w:rsidR="0059723C" w:rsidTr="0059723C">
        <w:tc>
          <w:tcPr>
            <w:tcW w:w="1101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917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СТАНОВАЊЕ,</w:t>
            </w:r>
            <w:r w:rsidR="003F2D45">
              <w:rPr>
                <w:rFonts w:ascii="Times New Roman" w:hAnsi="Times New Roman" w:cs="Times New Roman"/>
                <w:sz w:val="20"/>
                <w:szCs w:val="20"/>
              </w:rPr>
              <w:t xml:space="preserve"> УРБАНИЗАМ И ПРОСТОРНО ПЛАНИРАЊЕ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723C" w:rsidTr="0059723C">
        <w:tc>
          <w:tcPr>
            <w:tcW w:w="1101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723C" w:rsidRPr="003F2D45" w:rsidRDefault="003F2D45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917" w:type="dxa"/>
          </w:tcPr>
          <w:p w:rsidR="0059723C" w:rsidRPr="003F2D45" w:rsidRDefault="003F2D45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КОМУНАЛНЕ ДЕЛАТНОСТИ</w:t>
            </w:r>
          </w:p>
        </w:tc>
      </w:tr>
      <w:tr w:rsidR="0059723C" w:rsidTr="0059723C">
        <w:tc>
          <w:tcPr>
            <w:tcW w:w="1101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:rsidR="0059723C" w:rsidRPr="0059723C" w:rsidRDefault="0059723C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723C" w:rsidRPr="003F2D45" w:rsidRDefault="003F2D45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5917" w:type="dxa"/>
          </w:tcPr>
          <w:p w:rsidR="0059723C" w:rsidRPr="003F2D45" w:rsidRDefault="003F2D45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45">
              <w:rPr>
                <w:rFonts w:ascii="Times New Roman" w:hAnsi="Times New Roman" w:cs="Times New Roman"/>
                <w:sz w:val="20"/>
                <w:szCs w:val="20"/>
              </w:rPr>
              <w:t>ЛОКАЛНИ ЕКОНОМСКИ РАЗВОЈ</w:t>
            </w:r>
          </w:p>
        </w:tc>
      </w:tr>
      <w:tr w:rsidR="005B4388" w:rsidTr="0059723C">
        <w:tc>
          <w:tcPr>
            <w:tcW w:w="1101" w:type="dxa"/>
          </w:tcPr>
          <w:p w:rsidR="005B4388" w:rsidRP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5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5917" w:type="dxa"/>
          </w:tcPr>
          <w:p w:rsidR="005B4388" w:rsidRP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РАЗВОЈ ТУРИЗМА</w:t>
            </w:r>
          </w:p>
        </w:tc>
      </w:tr>
      <w:tr w:rsidR="005B4388" w:rsidTr="0059723C">
        <w:tc>
          <w:tcPr>
            <w:tcW w:w="1101" w:type="dxa"/>
          </w:tcPr>
          <w:p w:rsidR="005B4388" w:rsidRP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17" w:type="dxa"/>
          </w:tcPr>
          <w:p w:rsidR="005B4388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ПОЉОПРИВРЕДА И РУРАЛНИ РАЗВОЈ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5917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ЗАШТИТА ЖИВОТНЕ СРЕДИНЕ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5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5917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ОРГАНИЗАЦИЈА САОБРАЋАЈА И САОБРАЋАЈНА ИНФРАСТРУКТУРА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B4388" w:rsidRPr="00643B1B" w:rsidRDefault="00643B1B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917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ПРЕДШКОЛСКО ОБРАЗОВАЊЕ И ВАСПИТАЊЕ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75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917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 ОБРАЗОВАЊЕ И ВАСПИТАЊЕ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5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917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СРЕДЊЕ ОБРАЗОВАЊЕ И ВАСПИТАЊЕ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75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5917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СОЦИЈАЛНА И ДЕЧИЈА ЗАШТИТА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5917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ЗДРАВСТВЕНА ЗАШТИТА</w:t>
            </w:r>
          </w:p>
        </w:tc>
      </w:tr>
      <w:tr w:rsidR="005B4388" w:rsidTr="0059723C">
        <w:tc>
          <w:tcPr>
            <w:tcW w:w="1101" w:type="dxa"/>
          </w:tcPr>
          <w:p w:rsidR="005B4388" w:rsidRDefault="005B4388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B4388" w:rsidRPr="00AB1333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5917" w:type="dxa"/>
          </w:tcPr>
          <w:p w:rsidR="005B4388" w:rsidRPr="00454E2D" w:rsidRDefault="00AB1333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РАЗВОЈ КУЛТУРЕ</w:t>
            </w:r>
            <w:r w:rsidR="00454E2D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ИНФОРМИСАЊА</w:t>
            </w:r>
          </w:p>
        </w:tc>
      </w:tr>
      <w:tr w:rsidR="00477690" w:rsidTr="0059723C">
        <w:tc>
          <w:tcPr>
            <w:tcW w:w="1101" w:type="dxa"/>
          </w:tcPr>
          <w:p w:rsidR="00477690" w:rsidRDefault="00477690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75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917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РАЗВОЈ СПОРТА И ОМЛАДИНЕ</w:t>
            </w:r>
          </w:p>
        </w:tc>
      </w:tr>
      <w:tr w:rsidR="00477690" w:rsidTr="0059723C">
        <w:tc>
          <w:tcPr>
            <w:tcW w:w="1101" w:type="dxa"/>
          </w:tcPr>
          <w:p w:rsidR="00477690" w:rsidRDefault="00477690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5917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ОПШТЕ УСЛУГЕ ЛОКАЛНЕ САМОУПРАВЕ</w:t>
            </w:r>
          </w:p>
        </w:tc>
      </w:tr>
      <w:tr w:rsidR="00477690" w:rsidTr="0059723C">
        <w:tc>
          <w:tcPr>
            <w:tcW w:w="1101" w:type="dxa"/>
          </w:tcPr>
          <w:p w:rsidR="00477690" w:rsidRDefault="00477690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5917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ПОЛИТИЧКИ СИСТЕМ ЛОКАЛНЕ САМОУПРАВЕ</w:t>
            </w:r>
          </w:p>
        </w:tc>
      </w:tr>
      <w:tr w:rsidR="00477690" w:rsidTr="0059723C">
        <w:tc>
          <w:tcPr>
            <w:tcW w:w="1101" w:type="dxa"/>
          </w:tcPr>
          <w:p w:rsidR="00477690" w:rsidRDefault="00477690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17" w:type="dxa"/>
          </w:tcPr>
          <w:p w:rsidR="00477690" w:rsidRPr="00454E2D" w:rsidRDefault="00454E2D" w:rsidP="00EA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ЕНЕРГЕТСКА ЕФИКАСНОСТ И ОБНОВЉИВИ ИЗВОРИ ЕНЕРГИЈЕ</w:t>
            </w:r>
          </w:p>
        </w:tc>
      </w:tr>
    </w:tbl>
    <w:p w:rsidR="00EA0AAE" w:rsidRDefault="00EA0AAE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AAE" w:rsidRPr="005B4388" w:rsidRDefault="00EA0AAE" w:rsidP="00EA0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C7C" w:rsidRPr="00EA0AAE" w:rsidRDefault="00077C7C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Pr="00A55FB4" w:rsidRDefault="00A55FB4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Напомена: словне ознаке програма треба користити само приликом попуњавања налога за пренос, док у одлукама о буџету треба користити шифре програма.</w:t>
      </w:r>
    </w:p>
    <w:p w:rsidR="00077C7C" w:rsidRPr="00EA0AAE" w:rsidRDefault="00077C7C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Default="00077C7C" w:rsidP="00EA0AA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Default="00077C7C" w:rsidP="00EA0AA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5FB4" w:rsidRPr="00383559" w:rsidRDefault="00C5776D" w:rsidP="00C5776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3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Опште напомене за припрему одлуке о буџету локалне власти</w:t>
      </w:r>
    </w:p>
    <w:p w:rsidR="00C5776D" w:rsidRPr="00383559" w:rsidRDefault="00C5776D" w:rsidP="00C577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5FB4" w:rsidRPr="00A55FB4" w:rsidRDefault="00C5776D" w:rsidP="00454E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A55FB4"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Услед настале ситуације везане за пандемију заразне болести COVID-19,</w:t>
      </w:r>
    </w:p>
    <w:p w:rsidR="00A55FB4" w:rsidRDefault="00A55FB4" w:rsidP="00454E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финансија даје препоруку јединицама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локалне самоуправе да приликом </w:t>
      </w:r>
      <w:r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припремања одлука о буџету имају у виду финансирање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свих мера из своје надлежности </w:t>
      </w:r>
      <w:r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које су неопходне за спречавање појаве ширења и сузби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јања ове заразне болести, као и </w:t>
      </w:r>
      <w:r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да приликом планирања расхода изврше распоред сре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дстава у односу на обавезе чије </w:t>
      </w:r>
      <w:r w:rsidRPr="00A55FB4">
        <w:rPr>
          <w:rFonts w:ascii="Times New Roman" w:hAnsi="Times New Roman" w:cs="Times New Roman"/>
          <w:b/>
          <w:sz w:val="24"/>
          <w:szCs w:val="24"/>
          <w:lang w:val="sr-Cyrl-CS"/>
        </w:rPr>
        <w:t>измирење је приоритетно.</w:t>
      </w:r>
    </w:p>
    <w:p w:rsidR="00352923" w:rsidRDefault="00352923" w:rsidP="00454E2D">
      <w:pPr>
        <w:pStyle w:val="Default"/>
        <w:jc w:val="both"/>
        <w:rPr>
          <w:sz w:val="23"/>
          <w:szCs w:val="23"/>
        </w:rPr>
      </w:pPr>
      <w:r>
        <w:rPr>
          <w:b/>
          <w:color w:val="auto"/>
          <w:lang w:val="sr-Cyrl-CS"/>
        </w:rPr>
        <w:t xml:space="preserve">          </w:t>
      </w:r>
      <w:r>
        <w:rPr>
          <w:sz w:val="23"/>
          <w:szCs w:val="23"/>
        </w:rPr>
        <w:t xml:space="preserve">Законом о буџетском систему је прописано да одредбе закона којима се уређује коришћење и расподела сопствених прихода које остваре установе основане од стране локалне власти над којима оснивач, преко директних корисника буџетских средстава, врши законом утврђена права у погледу управљања и финансирања, престају да важе кад се за то створе технички услови. </w:t>
      </w:r>
    </w:p>
    <w:p w:rsidR="00352923" w:rsidRDefault="00352923" w:rsidP="00454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Jавнe приходe остварене по основу пружања услуга боравка деце у предшколским установама треба планирати на извору 01 - Приходи из буџета. </w:t>
      </w:r>
    </w:p>
    <w:p w:rsidR="00352923" w:rsidRDefault="00352923" w:rsidP="00352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</w:t>
      </w:r>
    </w:p>
    <w:p w:rsidR="00454E2D" w:rsidRPr="00383559" w:rsidRDefault="00352923" w:rsidP="00383559">
      <w:pPr>
        <w:pStyle w:val="Default"/>
        <w:jc w:val="both"/>
        <w:rPr>
          <w:iCs/>
        </w:rPr>
      </w:pPr>
      <w:r w:rsidRPr="00383559">
        <w:rPr>
          <w:iCs/>
        </w:rPr>
        <w:t xml:space="preserve">        </w:t>
      </w:r>
      <w:r w:rsidR="00454E2D" w:rsidRPr="00383559">
        <w:rPr>
          <w:iCs/>
        </w:rPr>
        <w:t>У оквиру спровођења реформе јавних финансија започет је процес унапређења</w:t>
      </w:r>
    </w:p>
    <w:p w:rsidR="00454E2D" w:rsidRPr="00383559" w:rsidRDefault="00454E2D" w:rsidP="00383559">
      <w:pPr>
        <w:pStyle w:val="Default"/>
        <w:jc w:val="both"/>
        <w:rPr>
          <w:iCs/>
        </w:rPr>
      </w:pPr>
      <w:r w:rsidRPr="00383559">
        <w:rPr>
          <w:iCs/>
        </w:rPr>
        <w:t>програмског модела буџета кроз увођење принципа родно одговорног буџетирања у</w:t>
      </w:r>
    </w:p>
    <w:p w:rsidR="001F4340" w:rsidRPr="001F4340" w:rsidRDefault="003A10E9" w:rsidP="001F4340">
      <w:pPr>
        <w:pStyle w:val="Default"/>
        <w:jc w:val="both"/>
        <w:rPr>
          <w:iCs/>
          <w:color w:val="FF0000"/>
        </w:rPr>
      </w:pPr>
      <w:r>
        <w:rPr>
          <w:iCs/>
        </w:rPr>
        <w:t xml:space="preserve">буџетски процес. </w:t>
      </w:r>
      <w:r w:rsidR="00383559" w:rsidRPr="00383559">
        <w:rPr>
          <w:iCs/>
        </w:rPr>
        <w:t>Одлуком о буџету за 2021.</w:t>
      </w:r>
      <w:r w:rsidR="00454E2D" w:rsidRPr="00383559">
        <w:rPr>
          <w:iCs/>
        </w:rPr>
        <w:t xml:space="preserve"> предвиђено је д</w:t>
      </w:r>
      <w:r w:rsidR="00383559" w:rsidRPr="00383559">
        <w:rPr>
          <w:iCs/>
        </w:rPr>
        <w:t xml:space="preserve">а се заокружи процес постепеног </w:t>
      </w:r>
      <w:r w:rsidR="00454E2D" w:rsidRPr="00383559">
        <w:rPr>
          <w:iCs/>
        </w:rPr>
        <w:t xml:space="preserve">увођења родно одговорног буџетирања власти. Имајући у виду наведену законску одредбу </w:t>
      </w:r>
      <w:r>
        <w:rPr>
          <w:iCs/>
        </w:rPr>
        <w:t>донет је П</w:t>
      </w:r>
      <w:r w:rsidR="00383559" w:rsidRPr="00383559">
        <w:rPr>
          <w:iCs/>
        </w:rPr>
        <w:t xml:space="preserve">лан поступног увођења </w:t>
      </w:r>
      <w:r w:rsidR="00454E2D" w:rsidRPr="00383559">
        <w:rPr>
          <w:iCs/>
        </w:rPr>
        <w:t>родно одговорног буџетирања, којим су одређени кор</w:t>
      </w:r>
      <w:r w:rsidR="00383559" w:rsidRPr="00383559">
        <w:rPr>
          <w:iCs/>
        </w:rPr>
        <w:t xml:space="preserve">исници буџетских средстава који </w:t>
      </w:r>
      <w:r w:rsidR="00454E2D" w:rsidRPr="00383559">
        <w:rPr>
          <w:iCs/>
        </w:rPr>
        <w:t>ће се дефинисати (на нивоу програма и/или прогр</w:t>
      </w:r>
      <w:r w:rsidR="00383559" w:rsidRPr="00383559">
        <w:rPr>
          <w:iCs/>
        </w:rPr>
        <w:t xml:space="preserve">амске активности) најмање један </w:t>
      </w:r>
      <w:r w:rsidR="00454E2D" w:rsidRPr="00383559">
        <w:rPr>
          <w:iCs/>
        </w:rPr>
        <w:t>родно одговоран циљ и одговарајуће показатеље</w:t>
      </w:r>
      <w:r w:rsidR="00383559" w:rsidRPr="00383559">
        <w:rPr>
          <w:iCs/>
        </w:rPr>
        <w:t xml:space="preserve">/индикаторе који адекватно мере </w:t>
      </w:r>
      <w:r w:rsidR="00454E2D" w:rsidRPr="00383559">
        <w:rPr>
          <w:iCs/>
        </w:rPr>
        <w:t>допринос циља унапређењу равноправости изм</w:t>
      </w:r>
      <w:r w:rsidR="00383559" w:rsidRPr="00383559">
        <w:rPr>
          <w:iCs/>
        </w:rPr>
        <w:t>еђу жена и мушкараца.</w:t>
      </w:r>
      <w:r w:rsidR="00254C68">
        <w:rPr>
          <w:iCs/>
        </w:rPr>
        <w:t xml:space="preserve"> </w:t>
      </w:r>
      <w:r w:rsidR="00383559" w:rsidRPr="00383559">
        <w:rPr>
          <w:iCs/>
        </w:rPr>
        <w:t>При изради финансијског плана за 2021</w:t>
      </w:r>
      <w:r w:rsidR="00454E2D" w:rsidRPr="00383559">
        <w:rPr>
          <w:iCs/>
        </w:rPr>
        <w:t xml:space="preserve">. годину потребно је </w:t>
      </w:r>
      <w:r w:rsidR="00383559" w:rsidRPr="00383559">
        <w:rPr>
          <w:iCs/>
        </w:rPr>
        <w:t xml:space="preserve">да се сви корисници придржавају </w:t>
      </w:r>
      <w:r w:rsidR="00454E2D" w:rsidRPr="00383559">
        <w:rPr>
          <w:iCs/>
        </w:rPr>
        <w:t>смерница прописаних овим Планом. План увођења р</w:t>
      </w:r>
      <w:r w:rsidR="00383559" w:rsidRPr="00383559">
        <w:rPr>
          <w:iCs/>
        </w:rPr>
        <w:t xml:space="preserve">одно одговорног буџетирања може </w:t>
      </w:r>
      <w:r w:rsidR="00454E2D" w:rsidRPr="00383559">
        <w:rPr>
          <w:iCs/>
        </w:rPr>
        <w:t>се</w:t>
      </w:r>
      <w:r w:rsidR="00383559" w:rsidRPr="00383559">
        <w:rPr>
          <w:iCs/>
        </w:rPr>
        <w:t xml:space="preserve"> преузети на сајту општине Мионица</w:t>
      </w:r>
      <w:r w:rsidR="001F4340">
        <w:rPr>
          <w:iCs/>
        </w:rPr>
        <w:t>.</w:t>
      </w:r>
    </w:p>
    <w:p w:rsidR="00A55FB4" w:rsidRPr="001F4340" w:rsidRDefault="001F4340" w:rsidP="00383559">
      <w:pPr>
        <w:pStyle w:val="Default"/>
        <w:jc w:val="both"/>
        <w:rPr>
          <w:iCs/>
          <w:color w:val="FF0000"/>
        </w:rPr>
      </w:pPr>
      <w:r>
        <w:rPr>
          <w:iCs/>
          <w:color w:val="FF0000"/>
        </w:rPr>
        <w:t xml:space="preserve">    </w:t>
      </w:r>
      <w:r w:rsidR="00352923" w:rsidRPr="00383559">
        <w:t xml:space="preserve"> 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дефинисања показатеља тежити ка томе да они задовоље критеријум СМАРТ. </w:t>
      </w:r>
      <w:r w:rsidR="00383559">
        <w:t>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</w:t>
      </w:r>
    </w:p>
    <w:p w:rsidR="00352923" w:rsidRPr="00383559" w:rsidRDefault="00352923" w:rsidP="00383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35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Pr="00383559">
        <w:rPr>
          <w:rFonts w:ascii="Times New Roman" w:hAnsi="Times New Roman" w:cs="Times New Roman"/>
          <w:sz w:val="24"/>
          <w:szCs w:val="24"/>
        </w:rPr>
        <w:t xml:space="preserve"> У складу са чланом 28. Закона о буџетском систему образложење одлуке о буџету садржи, између осталог, програмске информације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циљева. </w:t>
      </w:r>
    </w:p>
    <w:p w:rsidR="00352923" w:rsidRDefault="00352923" w:rsidP="00383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>
        <w:rPr>
          <w:b/>
          <w:bCs/>
          <w:sz w:val="23"/>
          <w:szCs w:val="23"/>
        </w:rPr>
        <w:t>исти могу извршавати само до висине апропријације утврђене одлуком о буџету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без обзира на то да ли су ови приходи остварени у већем или мањем обиму од планираног. </w:t>
      </w:r>
    </w:p>
    <w:p w:rsidR="00352923" w:rsidRPr="00383559" w:rsidRDefault="00352923" w:rsidP="00383559">
      <w:pPr>
        <w:pStyle w:val="Default"/>
        <w:jc w:val="both"/>
      </w:pPr>
      <w:r>
        <w:rPr>
          <w:sz w:val="23"/>
          <w:szCs w:val="23"/>
        </w:rPr>
        <w:t xml:space="preserve">           </w:t>
      </w:r>
      <w:r w:rsidRPr="00383559">
        <w:t xml:space="preserve">Уколико се у току године остваре наведени приходи у обиму већем од планираног актом у буџету, </w:t>
      </w:r>
      <w:r w:rsidRPr="00383559">
        <w:rPr>
          <w:b/>
          <w:bCs/>
        </w:rPr>
        <w:t>исти се могу користити и за извршавање других врста расхода</w:t>
      </w:r>
      <w:r w:rsidRPr="00383559">
        <w:t xml:space="preserve">, с обзиром на то да представљају опште приходе буџета којима се финансира јавна потрошња и који немају претходно утврђену намену. Такође, планирање висине расхода за намене предвиђене посебним прописима (чије одредбе нису стављени ван снаге) у поступку припреме и доношења буџета за наредну годину није условљено висином остварења тих прихода у текућој години. </w:t>
      </w:r>
    </w:p>
    <w:p w:rsidR="00352923" w:rsidRPr="00383559" w:rsidRDefault="00383559" w:rsidP="00383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23" w:rsidRPr="00352923">
        <w:rPr>
          <w:rFonts w:ascii="Times New Roman" w:hAnsi="Times New Roman" w:cs="Times New Roman"/>
          <w:sz w:val="24"/>
          <w:szCs w:val="24"/>
        </w:rPr>
        <w:t xml:space="preserve">С обзиром на то да су, у циљу што ефикаснијег спровођења фискалне политике, Законом утврђена и фискална правила за локалну власт, односно Законом је утврђено ограничење у погледу висине стварања фискалног дефицита (члан 27ж Закона), фискални дефицит локалне власти може настати само као резултат јавних инвестиција и </w:t>
      </w:r>
      <w:r w:rsidR="00352923" w:rsidRPr="00352923">
        <w:rPr>
          <w:rFonts w:ascii="Times New Roman" w:hAnsi="Times New Roman" w:cs="Times New Roman"/>
          <w:b/>
          <w:bCs/>
          <w:sz w:val="24"/>
          <w:szCs w:val="24"/>
        </w:rPr>
        <w:t xml:space="preserve">не може </w:t>
      </w:r>
      <w:r w:rsidR="00352923" w:rsidRPr="00352923">
        <w:rPr>
          <w:rFonts w:ascii="Times New Roman" w:hAnsi="Times New Roman" w:cs="Times New Roman"/>
          <w:sz w:val="24"/>
          <w:szCs w:val="24"/>
        </w:rPr>
        <w:t>бити већи од 10% њених прихода у тој години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923" w:rsidRPr="00352923" w:rsidRDefault="00352923" w:rsidP="003529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776D" w:rsidRPr="00C5776D" w:rsidRDefault="00C5776D" w:rsidP="00C577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76D" w:rsidRPr="00C5776D" w:rsidRDefault="00C5776D" w:rsidP="00C577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76D" w:rsidRPr="00C5776D" w:rsidRDefault="00C5776D" w:rsidP="00C577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70AD" w:rsidRPr="001F4340" w:rsidRDefault="008570AD" w:rsidP="001F434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F4340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Основне економске претпоставке и смернице за припрему Нацрта Одлуке о буџету за наредну фискалну годину</w:t>
      </w:r>
    </w:p>
    <w:p w:rsidR="008570AD" w:rsidRPr="008570AD" w:rsidRDefault="008570AD" w:rsidP="008570AD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0AD" w:rsidRPr="00CF6418" w:rsidRDefault="00CF6418" w:rsidP="00E9184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8570AD" w:rsidRPr="00CF64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Правци фискалне политике у 2021.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8570AD" w:rsidRPr="00CF6418">
        <w:rPr>
          <w:rFonts w:ascii="Times New Roman" w:hAnsi="Times New Roman" w:cs="Times New Roman"/>
          <w:b/>
          <w:sz w:val="24"/>
          <w:szCs w:val="24"/>
          <w:lang w:val="sr-Cyrl-CS"/>
        </w:rPr>
        <w:t>одини</w:t>
      </w:r>
    </w:p>
    <w:p w:rsidR="008570AD" w:rsidRDefault="008570AD" w:rsidP="00E918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0AD" w:rsidRPr="00CF6418" w:rsidRDefault="00CF6418" w:rsidP="00CF6418">
      <w:pPr>
        <w:pStyle w:val="Default"/>
        <w:jc w:val="both"/>
      </w:pPr>
      <w:r>
        <w:t xml:space="preserve">            </w:t>
      </w:r>
      <w:r w:rsidRPr="00CF6418">
        <w:t>Слично као и цела светска привреда и Србија се суочава са ризицима и неизвесностима услед епидемије коронавируса. Пад спољне тражње, али и предузете мере у оквиру борбе за заштиту здравља људи праћене и увођењем ванредног стања неминовно су се одразиле на економску активност у свим привредним секторима. Предузете економске мере које су имале за циљ очување производних капацитета привреде, одржање животног стандарда становништва и обезбеђивање довољне ликвидности значајно су помогле да се ублажи непосредна економска штета од овог шока и створе услови за бржи опоравак домаће привреде. Такође, умерени опоравак економија наших најзначајних спољнотрговинских партнера предвиђен за наредну годину позитивно ће се одразити и на домаћу привреду те под утицајем.</w:t>
      </w:r>
      <w:r>
        <w:t xml:space="preserve"> </w:t>
      </w:r>
      <w:r w:rsidRPr="00CF6418">
        <w:t>ових фактора раст БДП Србије се у 2021. години пројектује на 6% На основу присутних ниских инфлаторних притисака и смањене агрегатне тражње као и узимајући у обзир кретања цена на међународном тржишту добара и услуга, очекује се да ће инфлација до краја 2020. и током 2021. године остати ниска и стабилна и наставиће да се креће ближе доњој граници дозвољеног одступања од циља.</w:t>
      </w:r>
    </w:p>
    <w:p w:rsidR="008570AD" w:rsidRDefault="008570AD" w:rsidP="00E918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0AD" w:rsidRDefault="008570AD" w:rsidP="00E918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B90" w:rsidRPr="007D5A0C" w:rsidRDefault="00755B90" w:rsidP="00E918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5A0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Основне макроеконом</w:t>
      </w:r>
      <w:r w:rsidR="007D5A0C" w:rsidRPr="007D5A0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ске претпоставке за 2021. годину</w:t>
      </w:r>
    </w:p>
    <w:p w:rsidR="00E9184F" w:rsidRPr="00E9184F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5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2020.</w:t>
            </w:r>
          </w:p>
        </w:tc>
        <w:tc>
          <w:tcPr>
            <w:tcW w:w="3096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2021.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БДП,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</w:t>
            </w: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 РСД</w:t>
            </w:r>
          </w:p>
        </w:tc>
        <w:tc>
          <w:tcPr>
            <w:tcW w:w="3095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5507,6</w:t>
            </w:r>
          </w:p>
        </w:tc>
        <w:tc>
          <w:tcPr>
            <w:tcW w:w="3096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</w:t>
            </w: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5989,73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Стопа номиналног раста БДП, %</w:t>
            </w:r>
          </w:p>
        </w:tc>
        <w:tc>
          <w:tcPr>
            <w:tcW w:w="3095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1,8</w:t>
            </w:r>
          </w:p>
        </w:tc>
        <w:tc>
          <w:tcPr>
            <w:tcW w:w="3096" w:type="dxa"/>
          </w:tcPr>
          <w:p w:rsid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8,8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Стопе реалног раста БДП,%</w:t>
            </w:r>
          </w:p>
        </w:tc>
        <w:tc>
          <w:tcPr>
            <w:tcW w:w="3095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-1,8</w:t>
            </w:r>
          </w:p>
        </w:tc>
        <w:tc>
          <w:tcPr>
            <w:tcW w:w="3096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6,0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Инфлација, просек периода, %</w:t>
            </w:r>
          </w:p>
        </w:tc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1,5</w:t>
            </w:r>
          </w:p>
        </w:tc>
        <w:tc>
          <w:tcPr>
            <w:tcW w:w="3096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1,8</w:t>
            </w:r>
          </w:p>
        </w:tc>
      </w:tr>
    </w:tbl>
    <w:p w:rsidR="00E9184F" w:rsidRPr="007D5A0C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7C7" w:rsidRPr="007D5A0C" w:rsidRDefault="001547C7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i/>
          <w:iCs/>
          <w:sz w:val="20"/>
          <w:szCs w:val="20"/>
          <w:lang w:val="sr-Cyrl-CS"/>
        </w:rPr>
      </w:pPr>
    </w:p>
    <w:p w:rsidR="00ED6AAA" w:rsidRPr="00ED6AAA" w:rsidRDefault="001D3AC9" w:rsidP="00ED6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547C7">
        <w:rPr>
          <w:rFonts w:ascii="Times New Roman" w:hAnsi="Times New Roman" w:cs="Times New Roman"/>
          <w:sz w:val="24"/>
          <w:szCs w:val="24"/>
        </w:rPr>
        <w:t>У с</w:t>
      </w:r>
      <w:r w:rsidR="00ED6AAA">
        <w:rPr>
          <w:rFonts w:ascii="Times New Roman" w:hAnsi="Times New Roman" w:cs="Times New Roman"/>
          <w:sz w:val="24"/>
          <w:szCs w:val="24"/>
        </w:rPr>
        <w:t>кладу са напред  наведеним макро</w:t>
      </w:r>
      <w:r w:rsidR="001547C7">
        <w:rPr>
          <w:rFonts w:ascii="Times New Roman" w:hAnsi="Times New Roman" w:cs="Times New Roman"/>
          <w:sz w:val="24"/>
          <w:szCs w:val="24"/>
        </w:rPr>
        <w:t>економским показатељима локална власт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је у обавези да </w:t>
      </w:r>
      <w:r w:rsidR="00D61D67" w:rsidRPr="00C63A4D">
        <w:rPr>
          <w:rFonts w:ascii="Times New Roman" w:hAnsi="Times New Roman" w:cs="Times New Roman"/>
          <w:b/>
          <w:sz w:val="24"/>
          <w:szCs w:val="24"/>
          <w:lang w:val="sr-Cyrl-CS"/>
        </w:rPr>
        <w:t>реално планира своје приходе буџета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>Приликом планирања прихода,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 поћи од остварења прихода за три квартала у 2020. години и њихове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процене за задњи квартал те године, што представља основ за њихово увећање, при чему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укупан раст прихода не сме да буде већи од номиналног раста БДП (пројектован номинални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раст у 2021. години од 8,8%). Изузетно, локална власт може планирати већи обим прихода, с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 xml:space="preserve">тим што је у том случају </w:t>
      </w:r>
      <w:r w:rsidR="00ED6AAA" w:rsidRPr="00072ECA">
        <w:rPr>
          <w:rFonts w:ascii="Times New Roman" w:hAnsi="Times New Roman" w:cs="Times New Roman"/>
          <w:b/>
          <w:sz w:val="24"/>
          <w:szCs w:val="24"/>
          <w:lang w:val="sr-Cyrl-CS"/>
        </w:rPr>
        <w:t>дужна да у образложењу одлуке о буџету наведе разлоге за такво поступање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, као и да образложи параметре (кретање запослености, просечне зараде, очекиване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инвестиционе активности, промене у степену наплате пореза на имовину итд.) коришћене за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пројекцију таквих прихода.</w:t>
      </w:r>
    </w:p>
    <w:p w:rsidR="00ED6AAA" w:rsidRPr="00ED6AAA" w:rsidRDefault="00ED6AAA" w:rsidP="00ED6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6AAA" w:rsidRPr="00ED6AAA" w:rsidRDefault="00ED6AAA" w:rsidP="00ED6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Уколико локална власт очекује приходе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основу донација, апропријације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прихода и расхода (извор финансирања 05 и 06) може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ланирати у складу са очекиваним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износом ових средстава. Апропријације прихода и примања, расхо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и издатака из изворa 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>финансирања 07-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Трансфери од других нивоа власт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>и, 08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обровољни трансфери од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 xml:space="preserve">физичких и правних лица и 09 - Примања од продаје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нефинансијске имовине могу се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планирати у складу са реално очекиваним приливом средстава по тим основама.</w:t>
      </w:r>
    </w:p>
    <w:p w:rsidR="00ED6AAA" w:rsidRPr="00ED6AAA" w:rsidRDefault="00ED6AAA" w:rsidP="00ED6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6AAA" w:rsidRPr="00ED6AAA" w:rsidRDefault="00072EC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Ненаменске трансфере јединице локалне самоуправе треба да планирају у истом</w:t>
      </w:r>
    </w:p>
    <w:p w:rsidR="00ED6AAA" w:rsidRPr="00ED6AAA" w:rsidRDefault="00ED6AA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D6AAA">
        <w:rPr>
          <w:rFonts w:ascii="Times New Roman" w:hAnsi="Times New Roman" w:cs="Times New Roman"/>
          <w:sz w:val="24"/>
          <w:szCs w:val="24"/>
          <w:lang w:val="sr-Cyrl-CS"/>
        </w:rPr>
        <w:t>износу који је био опредељен Законом о буџету Републике Ср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бије за 2020. годину („Службени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гласник РС”, број 84/19 и 60/20 - уредба).</w:t>
      </w:r>
    </w:p>
    <w:p w:rsidR="00ED6AAA" w:rsidRPr="00ED6AAA" w:rsidRDefault="00ED6AAA" w:rsidP="00ED6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6AAA" w:rsidRPr="00ED6AAA" w:rsidRDefault="00072EC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D6AAA" w:rsidRPr="00ED6AAA">
        <w:rPr>
          <w:rFonts w:ascii="Times New Roman" w:hAnsi="Times New Roman" w:cs="Times New Roman"/>
          <w:sz w:val="24"/>
          <w:szCs w:val="24"/>
          <w:lang w:val="sr-Cyrl-CS"/>
        </w:rPr>
        <w:t>У складу са чланом 5. Закона о буџетском систему приходи и примања исказују се</w:t>
      </w:r>
    </w:p>
    <w:p w:rsidR="00ED6AAA" w:rsidRPr="00ED6AAA" w:rsidRDefault="00ED6AA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D6AAA">
        <w:rPr>
          <w:rFonts w:ascii="Times New Roman" w:hAnsi="Times New Roman" w:cs="Times New Roman"/>
          <w:sz w:val="24"/>
          <w:szCs w:val="24"/>
          <w:lang w:val="sr-Cyrl-CS"/>
        </w:rPr>
        <w:t>у укупно оствареним износима, а расходи и издаци у укупно извршеним износима.</w:t>
      </w:r>
    </w:p>
    <w:p w:rsidR="00ED6AAA" w:rsidRPr="00ED6AAA" w:rsidRDefault="00ED6AA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D6AAA">
        <w:rPr>
          <w:rFonts w:ascii="Times New Roman" w:hAnsi="Times New Roman" w:cs="Times New Roman"/>
          <w:sz w:val="24"/>
          <w:szCs w:val="24"/>
          <w:lang w:val="sr-Cyrl-CS"/>
        </w:rPr>
        <w:t>Правилником о условима и начину вођења рачуна за уплату јавних прихода и распоред</w:t>
      </w:r>
    </w:p>
    <w:p w:rsidR="004A2A8A" w:rsidRPr="00ED6AAA" w:rsidRDefault="00ED6AAA" w:rsidP="00072E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D6AAA">
        <w:rPr>
          <w:rFonts w:ascii="Times New Roman" w:hAnsi="Times New Roman" w:cs="Times New Roman"/>
          <w:sz w:val="24"/>
          <w:szCs w:val="24"/>
          <w:lang w:val="sr-Cyrl-CS"/>
        </w:rPr>
        <w:t>средстава са тих рачуна прописани су рачуни за уплату јавн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их прихода, тако да сви јавни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приходи и примања којима се финансирају надлежнос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ти локалне власти треба да буду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уплаћени на рачуне прописане за уплату јавних прихода,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чиме би се испоштовало уставно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начело бруто принципа (члан 92. Устава Републике Србије),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на подрачуне корисника </w:t>
      </w:r>
      <w:r w:rsidRPr="00ED6AAA">
        <w:rPr>
          <w:rFonts w:ascii="Times New Roman" w:hAnsi="Times New Roman" w:cs="Times New Roman"/>
          <w:sz w:val="24"/>
          <w:szCs w:val="24"/>
          <w:lang w:val="sr-Cyrl-CS"/>
        </w:rPr>
        <w:t>буџетских средстава.</w:t>
      </w:r>
      <w:r w:rsidR="004C26F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D61D67" w:rsidRPr="00ED6AAA" w:rsidRDefault="004C26FB" w:rsidP="001D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753BBD" w:rsidRDefault="004C26FB" w:rsidP="00753BBD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221789" w:rsidRPr="00072ECA" w:rsidRDefault="00ED6AAA" w:rsidP="00ED6AA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72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BD3" w:rsidRPr="00072EC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D0BD3" w:rsidRPr="00072E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пис планиране</w:t>
      </w:r>
      <w:r w:rsidR="007D3D91" w:rsidRPr="00072E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политике</w:t>
      </w:r>
      <w:r w:rsidR="00261569" w:rsidRPr="00072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3D91" w:rsidRPr="00072E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општине Мионица за период</w:t>
      </w:r>
      <w:r w:rsidRPr="00072ECA">
        <w:rPr>
          <w:rFonts w:ascii="Times New Roman" w:hAnsi="Times New Roman" w:cs="Times New Roman"/>
          <w:b/>
          <w:i/>
          <w:sz w:val="24"/>
          <w:szCs w:val="24"/>
        </w:rPr>
        <w:t xml:space="preserve"> 2021-2023</w:t>
      </w:r>
      <w:r w:rsidR="007D3D91" w:rsidRPr="00072E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D3D91" w:rsidRPr="00072E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године</w:t>
      </w:r>
    </w:p>
    <w:p w:rsidR="00261569" w:rsidRPr="00755B90" w:rsidRDefault="00261569" w:rsidP="0026156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39" w:rsidRDefault="007D0190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AAA">
        <w:rPr>
          <w:rFonts w:ascii="Times New Roman" w:hAnsi="Times New Roman" w:cs="Times New Roman"/>
          <w:sz w:val="24"/>
          <w:szCs w:val="24"/>
        </w:rPr>
        <w:t>У периоду од 2021. до 2023</w:t>
      </w:r>
      <w:r w:rsidR="00261569">
        <w:rPr>
          <w:rFonts w:ascii="Times New Roman" w:hAnsi="Times New Roman" w:cs="Times New Roman"/>
          <w:sz w:val="24"/>
          <w:szCs w:val="24"/>
        </w:rPr>
        <w:t xml:space="preserve">. године општина </w:t>
      </w:r>
      <w:r w:rsidR="0026156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ће обављати изворне, поверене и пренесене надлежности у складу са Уставом Републике Србије и Законом о локалној самоуправи, као и другим зак</w:t>
      </w:r>
      <w:r w:rsidR="00D83A39">
        <w:rPr>
          <w:rFonts w:ascii="Times New Roman" w:hAnsi="Times New Roman" w:cs="Times New Roman"/>
          <w:sz w:val="24"/>
          <w:szCs w:val="24"/>
        </w:rPr>
        <w:t>онским и подзаконским актима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789" w:rsidRPr="00374601">
        <w:rPr>
          <w:rFonts w:ascii="Times New Roman" w:hAnsi="Times New Roman" w:cs="Times New Roman"/>
          <w:sz w:val="24"/>
          <w:szCs w:val="24"/>
        </w:rPr>
        <w:t>којим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се регулише 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 општине Мионица</w:t>
      </w:r>
      <w:r w:rsidR="00D83A39">
        <w:rPr>
          <w:rFonts w:ascii="Times New Roman" w:hAnsi="Times New Roman" w:cs="Times New Roman"/>
          <w:sz w:val="24"/>
          <w:szCs w:val="24"/>
        </w:rPr>
        <w:t>.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Општина Мионица ће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наредном периоду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наставити са пословима: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-пољопривред</w:t>
      </w:r>
      <w:r w:rsidR="00223B84">
        <w:rPr>
          <w:rFonts w:ascii="Times New Roman" w:hAnsi="Times New Roman" w:cs="Times New Roman"/>
          <w:sz w:val="24"/>
          <w:szCs w:val="24"/>
        </w:rPr>
        <w:t>e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 xml:space="preserve"> и руралн</w:t>
      </w:r>
      <w:r w:rsidR="00223B84">
        <w:rPr>
          <w:rFonts w:ascii="Times New Roman" w:hAnsi="Times New Roman" w:cs="Times New Roman"/>
          <w:sz w:val="24"/>
          <w:szCs w:val="24"/>
        </w:rPr>
        <w:t>o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-заштите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</w:t>
      </w:r>
    </w:p>
    <w:p w:rsidR="00205A29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>-урбанизам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планирања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-вођења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политике локалног економског развоја</w:t>
      </w:r>
    </w:p>
    <w:p w:rsidR="00D83A39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-опорезивања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,финансијско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управљање и контроле,буџетирања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бављања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делатности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јавне расвете,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зоохигијена,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на јавним површинама,и др.)</w:t>
      </w:r>
    </w:p>
    <w:p w:rsidR="00D83A39" w:rsidRPr="009D5071" w:rsidRDefault="007D3D91" w:rsidP="0007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464B"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пројектно-</w:t>
      </w:r>
      <w:r w:rsidR="00A34A0E">
        <w:rPr>
          <w:rFonts w:ascii="Times New Roman" w:hAnsi="Times New Roman" w:cs="Times New Roman"/>
          <w:sz w:val="24"/>
          <w:szCs w:val="24"/>
          <w:lang w:val="sr-Cyrl-CS"/>
        </w:rPr>
        <w:t>техничке документације са којом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ће општина Мионица аплицирати код одређених финансијских фондова за реализацију истих,а који су у функцији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раз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воја инфраструктуре</w:t>
      </w:r>
    </w:p>
    <w:p w:rsidR="003078FD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-даљег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туризма</w:t>
      </w:r>
    </w:p>
    <w:p w:rsidR="007019B2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обезбеђивање функционисања локалних установа у</w:t>
      </w:r>
      <w:r w:rsidR="009D5071">
        <w:rPr>
          <w:rFonts w:ascii="Times New Roman" w:hAnsi="Times New Roman" w:cs="Times New Roman"/>
          <w:sz w:val="24"/>
          <w:szCs w:val="24"/>
        </w:rPr>
        <w:t xml:space="preserve"> oбразовању,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култури и спорту</w:t>
      </w:r>
    </w:p>
    <w:p w:rsidR="00D83A39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организацији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културних и спорстких активности и манифестација,</w:t>
      </w:r>
    </w:p>
    <w:p w:rsidR="007019B2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пружању осталих услуга грађанима и привреди у складу са Законом.</w:t>
      </w:r>
    </w:p>
    <w:p w:rsidR="00FF11B7" w:rsidRDefault="00FF11B7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072ECA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обављати по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верене и пренесене послове из области:државне управе,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социјалне заштите,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здравствене заштите,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предшколског,основног и ср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едњег образовања,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рада инспекцијски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х служби,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екологије и очувања животне средине и др.</w:t>
      </w:r>
    </w:p>
    <w:p w:rsidR="0076292D" w:rsidRDefault="0076292D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072ECA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и у 2021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.години наставити са спровођењем мера штед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>е и рационализације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сходно предлозима Владе Републике Србије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и биће испоштоване мере предлож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ене од стране Министарства финансија о начину планирања одређених врста расхода.</w:t>
      </w:r>
    </w:p>
    <w:p w:rsidR="0076292D" w:rsidRDefault="0076292D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2A3" w:rsidRPr="00FF11B7" w:rsidRDefault="00072ECA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9872A3">
        <w:rPr>
          <w:rFonts w:ascii="Times New Roman" w:hAnsi="Times New Roman" w:cs="Times New Roman"/>
          <w:sz w:val="24"/>
          <w:szCs w:val="24"/>
          <w:lang w:val="sr-Cyrl-CS"/>
        </w:rPr>
        <w:t>Успостављање одрживог нивоа расхода корисника бу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="009872A3">
        <w:rPr>
          <w:rFonts w:ascii="Times New Roman" w:hAnsi="Times New Roman" w:cs="Times New Roman"/>
          <w:sz w:val="24"/>
          <w:szCs w:val="24"/>
          <w:lang w:val="sr-Cyrl-CS"/>
        </w:rPr>
        <w:t>етских средстава у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односу на остварене приходе је</w:t>
      </w:r>
      <w:r w:rsidR="009872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2A3">
        <w:rPr>
          <w:rFonts w:ascii="Times New Roman" w:hAnsi="Times New Roman" w:cs="Times New Roman"/>
          <w:sz w:val="24"/>
          <w:szCs w:val="24"/>
          <w:lang w:val="sr-Cyrl-CS"/>
        </w:rPr>
        <w:t>такође,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2A3">
        <w:rPr>
          <w:rFonts w:ascii="Times New Roman" w:hAnsi="Times New Roman" w:cs="Times New Roman"/>
          <w:sz w:val="24"/>
          <w:szCs w:val="24"/>
          <w:lang w:val="sr-Cyrl-CS"/>
        </w:rPr>
        <w:t>један од циљева за наредни период.</w:t>
      </w:r>
      <w:r w:rsidR="00FF11B7" w:rsidRPr="00FF11B7">
        <w:rPr>
          <w:rFonts w:ascii="Times New Roman" w:hAnsi="Times New Roman" w:cs="Times New Roman"/>
          <w:sz w:val="24"/>
          <w:szCs w:val="24"/>
        </w:rPr>
        <w:t xml:space="preserve"> </w:t>
      </w:r>
      <w:r w:rsidR="00FF11B7" w:rsidRPr="00374601">
        <w:rPr>
          <w:rFonts w:ascii="Times New Roman" w:hAnsi="Times New Roman" w:cs="Times New Roman"/>
          <w:sz w:val="24"/>
          <w:szCs w:val="24"/>
        </w:rPr>
        <w:t xml:space="preserve">Такође, у наредној </w:t>
      </w:r>
      <w:r w:rsidR="00FF11B7" w:rsidRPr="00374601">
        <w:rPr>
          <w:rFonts w:ascii="Times New Roman" w:hAnsi="Times New Roman" w:cs="Times New Roman"/>
          <w:sz w:val="24"/>
          <w:szCs w:val="24"/>
        </w:rPr>
        <w:lastRenderedPageBreak/>
        <w:t xml:space="preserve">години потребно је предузети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даље </w:t>
      </w:r>
      <w:r w:rsidR="00FF11B7" w:rsidRPr="00374601">
        <w:rPr>
          <w:rFonts w:ascii="Times New Roman" w:hAnsi="Times New Roman" w:cs="Times New Roman"/>
          <w:sz w:val="24"/>
          <w:szCs w:val="24"/>
        </w:rPr>
        <w:t>активности које ће бити усмерене ка повећању наплате пореских и непореских прихода</w:t>
      </w:r>
      <w:r w:rsidR="00FF11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3B00" w:rsidRPr="00792C7A" w:rsidRDefault="007D0190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62A7" w:rsidRPr="00374601" w:rsidRDefault="00221789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 w:rsidRP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7D019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650D" w:rsidRPr="00072ECA" w:rsidRDefault="00ED6AAA" w:rsidP="00ED6AA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</w:pPr>
      <w:r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Процена прихода и примања</w:t>
      </w:r>
      <w:r w:rsidR="0036455C"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,</w:t>
      </w:r>
      <w:r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r w:rsidR="0036455C"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рас</w:t>
      </w:r>
      <w:r w:rsidR="009D5071"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хода и издатак</w:t>
      </w:r>
      <w:r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а буџета општине Мионица за 2021</w:t>
      </w:r>
      <w:r w:rsidR="0036455C"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.годину,</w:t>
      </w:r>
      <w:r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r w:rsidR="0036455C" w:rsidRPr="00072E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са пројекцијама за наредне две године </w:t>
      </w:r>
    </w:p>
    <w:p w:rsidR="00ED6AAA" w:rsidRDefault="00ED6AAA" w:rsidP="0036455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36455C" w:rsidRPr="00ED6AAA" w:rsidRDefault="00ED6AAA" w:rsidP="00A13049">
      <w:pPr>
        <w:pStyle w:val="ListParagraph"/>
        <w:autoSpaceDE w:val="0"/>
        <w:autoSpaceDN w:val="0"/>
        <w:adjustRightInd w:val="0"/>
        <w:ind w:left="0" w:firstLine="578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4C506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Саг</w:t>
      </w:r>
      <w:r w:rsidRPr="00ED6AAA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ласно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одредбама чл.</w:t>
      </w:r>
      <w:r w:rsidR="00A130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40 Закона о буџетском систему</w:t>
      </w:r>
      <w:r w:rsidR="00A130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буџетски корисници </w:t>
      </w:r>
      <w:r w:rsidR="00A1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општине Мионица су у обавези да при изради предлога финансијских планова за 2021. годину планирају расходе и издатке до </w:t>
      </w:r>
      <w:r w:rsidR="004C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ниовоа утврђених овим Упутством, </w:t>
      </w:r>
      <w:r w:rsidR="004C5065" w:rsidRPr="007547E0">
        <w:rPr>
          <w:rFonts w:ascii="Times New Roman" w:hAnsi="Times New Roman" w:cs="Times New Roman"/>
          <w:sz w:val="24"/>
          <w:szCs w:val="24"/>
          <w:lang w:val="sr-Cyrl-CS"/>
        </w:rPr>
        <w:t>водећи рач</w:t>
      </w:r>
      <w:r w:rsidR="004C5065">
        <w:rPr>
          <w:rFonts w:ascii="Times New Roman" w:hAnsi="Times New Roman" w:cs="Times New Roman"/>
          <w:sz w:val="24"/>
          <w:szCs w:val="24"/>
          <w:lang w:val="sr-Cyrl-CS"/>
        </w:rPr>
        <w:t xml:space="preserve">уна при томе о донетим одлукама и </w:t>
      </w:r>
      <w:r w:rsidR="004C5065" w:rsidRPr="007547E0">
        <w:rPr>
          <w:rFonts w:ascii="Times New Roman" w:hAnsi="Times New Roman" w:cs="Times New Roman"/>
          <w:sz w:val="24"/>
          <w:szCs w:val="24"/>
          <w:lang w:val="sr-Cyrl-CS"/>
        </w:rPr>
        <w:t>уговореним обавезама</w:t>
      </w:r>
      <w:r w:rsidR="004C50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1A92" w:rsidRDefault="00A13049" w:rsidP="00A130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</w:t>
      </w:r>
      <w:r w:rsidR="00651A92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Полазна основа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планирање обима за 2021</w:t>
      </w:r>
      <w:r w:rsidR="00651A92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651A92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годину </w:t>
      </w:r>
      <w:r w:rsidR="00E57111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су </w:t>
      </w:r>
      <w:r w:rsidR="004C506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остварени</w:t>
      </w:r>
      <w:r w:rsidR="00E57111" w:rsidRPr="00A34A0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>прих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оди </w:t>
      </w:r>
      <w:r w:rsidR="004C50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примања као и извршени расходи и издаци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30.06.2020.године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њихова процена остварења</w:t>
      </w:r>
      <w:r w:rsidR="004C50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извршења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краја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2020. </w:t>
      </w:r>
      <w:r w:rsidR="00CD693F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одине на бази остварења</w:t>
      </w:r>
      <w:r w:rsidR="004C50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извршења истих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истом периоду у претходне три године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69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5065">
        <w:rPr>
          <w:rFonts w:ascii="Times New Roman" w:hAnsi="Times New Roman" w:cs="Times New Roman"/>
          <w:sz w:val="24"/>
          <w:szCs w:val="24"/>
          <w:lang w:val="sr-Cyrl-CS"/>
        </w:rPr>
        <w:t>Обим финансијских средстава за 2021. годину буџетски корисници могу планирати са увећањем од 8,8% у односу на утврђену полазну основу.</w:t>
      </w:r>
    </w:p>
    <w:p w:rsidR="00021475" w:rsidRPr="00A649D9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7D0190" w:rsidRPr="007D0190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034FD1" w:rsidRDefault="007D0190" w:rsidP="00254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A0" w:rsidRPr="007D3A79" w:rsidRDefault="00072ECA" w:rsidP="007D3A7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4C5065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Обим средстава,</w:t>
      </w:r>
      <w:r w:rsidR="00791638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односно</w:t>
      </w:r>
      <w:r w:rsidR="004C5065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лимит</w:t>
      </w:r>
      <w:r w:rsidR="00791638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расхода и издатака буџетских корисника за 2021.</w:t>
      </w:r>
      <w:r w:rsidR="00FD75F8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791638" w:rsidRPr="007D3A7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годину, са пројекцијамса за наредне две фискалне године</w:t>
      </w:r>
    </w:p>
    <w:p w:rsidR="00791638" w:rsidRPr="00072ECA" w:rsidRDefault="00791638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91638" w:rsidRPr="00AA1EA0" w:rsidRDefault="00FD75F8" w:rsidP="00FD75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величину потребног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фискалног прилагођавања, у овом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упу</w:t>
      </w:r>
      <w:r w:rsidR="00A649D9">
        <w:rPr>
          <w:rFonts w:ascii="Times New Roman" w:hAnsi="Times New Roman" w:cs="Times New Roman"/>
          <w:sz w:val="24"/>
          <w:szCs w:val="24"/>
          <w:lang w:val="sr-Cyrl-CS"/>
        </w:rPr>
        <w:t>ству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утврђују се смернице за планирање појединих категорија расхода и издатака</w:t>
      </w:r>
      <w:r w:rsidR="00A649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1EA0" w:rsidRPr="00AA1EA0" w:rsidRDefault="00AA1EA0" w:rsidP="00FD75F8">
      <w:pPr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64A0" w:rsidRDefault="00F264A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Планирање масе средста</w:t>
      </w:r>
      <w:r w:rsidR="00A649D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ва за плате запослених у 2021. г</w:t>
      </w:r>
      <w:r w:rsidRPr="00F264A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одини</w:t>
      </w: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t>Законско уређење плата</w:t>
      </w: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Плате запослених у јавном сектору уређене су Законом о систему плата</w:t>
      </w:r>
    </w:p>
    <w:p w:rsidR="00F264A0" w:rsidRPr="00072ECA" w:rsidRDefault="00F264A0" w:rsidP="00A649D9">
      <w:pPr>
        <w:pStyle w:val="ListParagraph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sz w:val="24"/>
          <w:szCs w:val="24"/>
          <w:lang w:val="sr-Cyrl-CS"/>
        </w:rPr>
        <w:t>запослених у јавном сектору („Службени гласник РС”, број 18/16, 108/16, 113/17, 95/18 и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2ECA">
        <w:rPr>
          <w:rFonts w:ascii="Times New Roman" w:hAnsi="Times New Roman" w:cs="Times New Roman"/>
          <w:sz w:val="24"/>
          <w:szCs w:val="24"/>
          <w:lang w:val="sr-Cyrl-CS"/>
        </w:rPr>
        <w:t>86/19).</w:t>
      </w:r>
    </w:p>
    <w:p w:rsidR="00F264A0" w:rsidRPr="00072ECA" w:rsidRDefault="00072ECA" w:rsidP="00FD75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F264A0" w:rsidRPr="00072ECA">
        <w:rPr>
          <w:rFonts w:ascii="Times New Roman" w:hAnsi="Times New Roman" w:cs="Times New Roman"/>
          <w:sz w:val="24"/>
          <w:szCs w:val="24"/>
          <w:lang w:val="sr-Cyrl-CS"/>
        </w:rPr>
        <w:t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бр.62/06...113/17 - др.закон), Уредбом о коефицијентима за обрачун и исплату плата именованих и постављених лица и запослених у државним органима („Службени гласник РС”, бр. 44/08 - пречишћен текст, 2/12, 113/17-др.закон и 23/18, 95/18- др. закон и 86/19 – др.закон).</w:t>
      </w:r>
    </w:p>
    <w:p w:rsidR="00AA1EA0" w:rsidRPr="00A649D9" w:rsidRDefault="00A649D9" w:rsidP="00A64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264A0" w:rsidRPr="00A649D9">
        <w:rPr>
          <w:rFonts w:ascii="Times New Roman" w:hAnsi="Times New Roman" w:cs="Times New Roman"/>
          <w:sz w:val="24"/>
          <w:szCs w:val="24"/>
          <w:lang w:val="sr-Cyrl-CS"/>
        </w:rPr>
        <w:t>Приликом обрачуна и исплате плата за запослене у предшколским установама и другим јавним службама (установе културе) не примењује се Уредба о коефицијентима за обрачун и исплату плата именованих и постављених лица и запослених у државним органима, већ Уредба о коефицијентима за обрачун и исплату плата запослених у јавним службама („Службени гласник РС”, бр. 44/01...86/19-др.закон).</w:t>
      </w:r>
    </w:p>
    <w:p w:rsidR="00F264A0" w:rsidRDefault="00F264A0" w:rsidP="00F264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64A0" w:rsidRDefault="00F264A0" w:rsidP="00F264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64A0" w:rsidRDefault="00F264A0" w:rsidP="00F264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9D9" w:rsidRDefault="00A649D9" w:rsidP="00FD75F8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649D9" w:rsidRDefault="00A649D9" w:rsidP="00FD75F8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 Законом уређена основица за обрачун плата</w:t>
      </w: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75F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Приликом обрачуна и исплате плата запослених код корисника буџета локалне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власти примењују се основице према закључцима Владе Републике Србије, до почетка примене одредаба Закона о систему плата запослених у јавном сектору.</w:t>
      </w:r>
    </w:p>
    <w:p w:rsidR="00F264A0" w:rsidRDefault="00F264A0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142" w:firstLine="78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t>3. Планирање масе средстава за плате у одлукама о буџету за 2021. годину</w:t>
      </w:r>
    </w:p>
    <w:p w:rsidR="00F264A0" w:rsidRPr="00F264A0" w:rsidRDefault="00F264A0" w:rsidP="00F264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64A0" w:rsidRPr="00F264A0" w:rsidRDefault="00FD75F8" w:rsidP="00FD75F8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Локална власт у 2021. години може планирати укупна средства потребна за</w:t>
      </w:r>
      <w:r w:rsidR="00F264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исплату плата запослених које се финансирају из буџета локалне власти, тако да масу средстава за исплату плата планирају на нивоу </w:t>
      </w:r>
      <w:r w:rsidR="00F264A0"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t>исплаћених плата у 2020. години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, а највише до дозвољеног нивоа за исплату плата у складу са чланом 43. Закона о буџету Републике Србије за 2020. годину („Службени гласни РС”, бр. 84/19 и 60/20-уредба).</w:t>
      </w:r>
    </w:p>
    <w:p w:rsidR="00F264A0" w:rsidRPr="00F264A0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Укупну масу средстава за плате треба умањити за плате запослених код</w:t>
      </w: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4A0">
        <w:rPr>
          <w:rFonts w:ascii="Times New Roman" w:hAnsi="Times New Roman" w:cs="Times New Roman"/>
          <w:sz w:val="24"/>
          <w:szCs w:val="24"/>
          <w:lang w:val="sr-Cyrl-CS"/>
        </w:rPr>
        <w:t>корисника буџетских средстава које су се финансирале из буџета локалне власти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економских класификација 411 и 412, а више се не финансирају (због престанка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корисника и сл.) односно за плате запослених који су радили код тих корисника, а који нису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преузети у органе и службе управе или јавне службе чије се плате финансирају из буџета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локалне власти на економским класификацијама 411 и 412.</w:t>
      </w:r>
    </w:p>
    <w:p w:rsidR="00F264A0" w:rsidRPr="00F264A0" w:rsidRDefault="00F264A0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D75F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Средства за плате задржана су на нивоу средстава планираних Законом о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Републике Србије за 2020. годину, а евентуална корекција износа планираних средстава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плате извршиће се у току буџетске процедуре на основу ревидиране Фискалне стратегије,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измена и допуна Закона о буџетском систему и процене потребних средстава за расходе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64A0">
        <w:rPr>
          <w:rFonts w:ascii="Times New Roman" w:hAnsi="Times New Roman" w:cs="Times New Roman"/>
          <w:sz w:val="24"/>
          <w:szCs w:val="24"/>
          <w:lang w:val="sr-Cyrl-CS"/>
        </w:rPr>
        <w:t>запослене за 2021. годину.</w:t>
      </w:r>
    </w:p>
    <w:p w:rsidR="00F264A0" w:rsidRPr="00F264A0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264A0" w:rsidRPr="00F264A0">
        <w:rPr>
          <w:rFonts w:ascii="Times New Roman" w:hAnsi="Times New Roman" w:cs="Times New Roman"/>
          <w:b/>
          <w:sz w:val="24"/>
          <w:szCs w:val="24"/>
          <w:lang w:val="sr-Cyrl-CS"/>
        </w:rPr>
        <w:t>Средства за плате се планирају на бази броја запослених који раде, а не систематизованог броја запослених.</w:t>
      </w:r>
    </w:p>
    <w:p w:rsidR="00F264A0" w:rsidRPr="00F264A0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Средства која су била планирана за новозапошљавање у 2021. години не могу се користити за повећање плата запослених који већ раде.</w:t>
      </w:r>
    </w:p>
    <w:p w:rsidR="00F264A0" w:rsidRPr="00F264A0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Као и у претходним годинама, и у буџетској 2021. години не треба планирати обрачун и исплату поклона у новцу, божићних, годишњих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локалне власти, као и друга примања из члана 120. став 1. тачка 4. Закона о раду („Службени гласник РС”, бр. 24/05, 61/05, 54/09, 32/13, 75/14, 13/17-УС, 113/17 и 95/18-аутентично тумачење) осим јубиларних награда за запослене који су то право стекли у 2021. години и новчаних честитки за децу запослених.</w:t>
      </w:r>
    </w:p>
    <w:p w:rsidR="00F264A0" w:rsidRPr="00FD75F8" w:rsidRDefault="00FD75F8" w:rsidP="00FD7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F264A0" w:rsidRPr="00FD75F8">
        <w:rPr>
          <w:rFonts w:ascii="Times New Roman" w:hAnsi="Times New Roman" w:cs="Times New Roman"/>
          <w:sz w:val="24"/>
          <w:szCs w:val="24"/>
          <w:lang w:val="sr-Cyrl-CS"/>
        </w:rPr>
        <w:t>Такође, у 2021. години не могу се исплаћивати запосленима код директних и индиректних корисника буџетских средстава локалне власти, награде и бонуси који према ммеђународним критеријумима представљају нестандардне, односно нетранспарентне облике награда и бонуса</w:t>
      </w:r>
      <w:r w:rsidR="00F264A0" w:rsidRPr="00FD75F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02142" w:rsidRDefault="00A02142" w:rsidP="00F264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142" w:rsidRPr="00A02142" w:rsidRDefault="00A02142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02142">
        <w:rPr>
          <w:rFonts w:ascii="Times New Roman" w:hAnsi="Times New Roman" w:cs="Times New Roman"/>
          <w:sz w:val="24"/>
          <w:szCs w:val="24"/>
          <w:lang w:val="sr-Cyrl-CS"/>
        </w:rPr>
        <w:t>Остале економске класификације у оквиру групе 41 - Расходи за запослене, планирати крајње рестриктивно.</w:t>
      </w: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42">
        <w:rPr>
          <w:rFonts w:ascii="Times New Roman" w:hAnsi="Times New Roman" w:cs="Times New Roman"/>
          <w:i/>
          <w:sz w:val="24"/>
          <w:szCs w:val="24"/>
        </w:rPr>
        <w:t>ТАБЕЛАРНИ ПРИКАЗ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42">
        <w:rPr>
          <w:rFonts w:ascii="Times New Roman" w:hAnsi="Times New Roman" w:cs="Times New Roman"/>
          <w:b/>
          <w:sz w:val="24"/>
          <w:szCs w:val="24"/>
        </w:rPr>
        <w:t>Група конта 41 – Расходи за запослене</w:t>
      </w: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FD75F8" w:rsidRDefault="00FD75F8" w:rsidP="00FD75F8">
      <w:pPr>
        <w:pStyle w:val="ListParagraph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окална власт је у обавези да у О</w:t>
      </w:r>
      <w:r w:rsidR="00A02142" w:rsidRPr="00A02142">
        <w:rPr>
          <w:rFonts w:ascii="Times New Roman" w:hAnsi="Times New Roman" w:cs="Times New Roman"/>
          <w:sz w:val="24"/>
          <w:szCs w:val="24"/>
        </w:rPr>
        <w:t>длуци о буџету за 2021. годину, у делу буџета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FD75F8">
        <w:rPr>
          <w:rFonts w:ascii="Times New Roman" w:hAnsi="Times New Roman" w:cs="Times New Roman"/>
          <w:sz w:val="24"/>
          <w:szCs w:val="24"/>
        </w:rPr>
        <w:t xml:space="preserve">који садржи норме битне за извршење буџета, у посебној одредби </w:t>
      </w:r>
      <w:r w:rsidR="00A02142" w:rsidRPr="00FD75F8">
        <w:rPr>
          <w:rFonts w:ascii="Times New Roman" w:hAnsi="Times New Roman" w:cs="Times New Roman"/>
          <w:b/>
          <w:sz w:val="24"/>
          <w:szCs w:val="24"/>
        </w:rPr>
        <w:t xml:space="preserve">искаже број </w:t>
      </w:r>
      <w:r w:rsidR="00A02142" w:rsidRPr="00FD75F8">
        <w:rPr>
          <w:rFonts w:ascii="Times New Roman" w:hAnsi="Times New Roman" w:cs="Times New Roman"/>
          <w:b/>
          <w:sz w:val="24"/>
          <w:szCs w:val="24"/>
        </w:rPr>
        <w:lastRenderedPageBreak/>
        <w:t>запослених на неодређено и одређено време, за које су у буџету локалне власти обезбеђена средства.</w:t>
      </w:r>
    </w:p>
    <w:p w:rsidR="00A02142" w:rsidRPr="00FD75F8" w:rsidRDefault="00A02142" w:rsidP="00FD75F8">
      <w:pPr>
        <w:pStyle w:val="ListParagraph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D7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7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5F8">
        <w:rPr>
          <w:rFonts w:ascii="Times New Roman" w:hAnsi="Times New Roman" w:cs="Times New Roman"/>
          <w:b/>
          <w:sz w:val="24"/>
          <w:szCs w:val="24"/>
        </w:rPr>
        <w:t>Уколико се изменама или допунама Одлуке о буџету локалне власти мењају</w:t>
      </w:r>
    </w:p>
    <w:p w:rsidR="00A02142" w:rsidRPr="00FD75F8" w:rsidRDefault="00A02142" w:rsidP="00FD75F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75F8">
        <w:rPr>
          <w:rFonts w:ascii="Times New Roman" w:hAnsi="Times New Roman" w:cs="Times New Roman"/>
          <w:b/>
          <w:sz w:val="24"/>
          <w:szCs w:val="24"/>
        </w:rPr>
        <w:t>подаци достављени у Прилогу 1, неопходно је доставити измењене (допуњене) табеле са образложењем и документацијом која потврђује да је било неопходно извршити одређене промене у односу на усвојену Одлуку о буџету.</w:t>
      </w:r>
    </w:p>
    <w:p w:rsidR="00A02142" w:rsidRPr="00A02142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Табела 1. је табела са податком о броју запослених у 2020. години и планираним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бројем запослених у 2021. години, по корисницима буџета локалне власти, на економским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класификацијама 411 и 412, по изворима финансирања.</w:t>
      </w:r>
    </w:p>
    <w:p w:rsidR="00A02142" w:rsidRPr="00FD75F8" w:rsidRDefault="00FD75F8" w:rsidP="00FD7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142" w:rsidRPr="00FD75F8">
        <w:rPr>
          <w:rFonts w:ascii="Times New Roman" w:hAnsi="Times New Roman" w:cs="Times New Roman"/>
          <w:sz w:val="24"/>
          <w:szCs w:val="24"/>
        </w:rPr>
        <w:t>Табела Т1 се аутоматски попуњава подацима из табела Т1.1, Т1.2 и Т1.3 које је потребно попунити.</w:t>
      </w:r>
    </w:p>
    <w:p w:rsidR="00A02142" w:rsidRPr="00FD75F8" w:rsidRDefault="00A02142" w:rsidP="00FD75F8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75F8">
        <w:rPr>
          <w:rFonts w:ascii="Times New Roman" w:hAnsi="Times New Roman" w:cs="Times New Roman"/>
          <w:sz w:val="24"/>
          <w:szCs w:val="24"/>
        </w:rPr>
        <w:t>Т1 - Укупан број запослених чије се плате финансирају из свих извора на економским 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Т1.1 - Број запослених чије се плате финансирају из извора 01 на економским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Т1.2 - Број запослених чије се плате финансирају из извора 04 на економским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Т1.3 - Број запослених чије се плате финансирају из извора 05-08 на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2142">
        <w:rPr>
          <w:rFonts w:ascii="Times New Roman" w:hAnsi="Times New Roman" w:cs="Times New Roman"/>
          <w:sz w:val="24"/>
          <w:szCs w:val="24"/>
        </w:rPr>
        <w:t>економским класификацијама 411 и 412.</w:t>
      </w:r>
    </w:p>
    <w:p w:rsidR="00A02142" w:rsidRPr="00FD75F8" w:rsidRDefault="00FD75F8" w:rsidP="006A1BDE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142" w:rsidRPr="00FD75F8">
        <w:rPr>
          <w:rFonts w:ascii="Times New Roman" w:hAnsi="Times New Roman" w:cs="Times New Roman"/>
          <w:sz w:val="24"/>
          <w:szCs w:val="24"/>
        </w:rPr>
        <w:t>Табеле Т1.1, Т1.2 и Т1.3 попуњавају се тако што се попуњавају колоне ''број</w:t>
      </w:r>
    </w:p>
    <w:p w:rsidR="00A02142" w:rsidRPr="00A02142" w:rsidRDefault="00A02142" w:rsidP="006A1BDE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запослених на неодређено време'' и ''број запослених на одређено време'' по корисницима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то само у редовима са празним ћелијама. Осенчене ћелије се не попуњавају.</w:t>
      </w:r>
    </w:p>
    <w:p w:rsidR="00A02142" w:rsidRDefault="00A02142" w:rsidP="00A02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02142" w:rsidRPr="00A02142" w:rsidRDefault="006A1BDE" w:rsidP="00A02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Табелу 2 (у</w:t>
      </w:r>
    </w:p>
    <w:p w:rsidR="00A02142" w:rsidRPr="00A02142" w:rsidRDefault="006A1BDE" w:rsidP="006A1BDE">
      <w:pPr>
        <w:pStyle w:val="ListParagraph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Прилогу 1. Упутства), у којој је неопходно попунити, упоредо по корисницима буџета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локалне власти, на економским класификацијама 411 и 412, по изворима, следеће:</w:t>
      </w:r>
    </w:p>
    <w:p w:rsidR="00A02142" w:rsidRPr="006A1BDE" w:rsidRDefault="00A02142" w:rsidP="006A1BDE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BDE">
        <w:rPr>
          <w:rFonts w:ascii="Times New Roman" w:hAnsi="Times New Roman" w:cs="Times New Roman"/>
          <w:sz w:val="24"/>
          <w:szCs w:val="24"/>
        </w:rPr>
        <w:t>маса средства за плате исплаћена за период I-X у 2020. години и планирана пројекција за период XI-XII у 2020. години у складу са одредбама члана 42. Закона о буџету Републике Србије за 2020. годину и</w:t>
      </w:r>
    </w:p>
    <w:p w:rsidR="00A02142" w:rsidRPr="00A02142" w:rsidRDefault="00A02142" w:rsidP="00A0214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планирана средства за плате за 2021. годину.</w:t>
      </w:r>
    </w:p>
    <w:p w:rsidR="00A02142" w:rsidRPr="00A02142" w:rsidRDefault="00A02142" w:rsidP="006A1BDE">
      <w:pPr>
        <w:pStyle w:val="ListParagraph"/>
        <w:autoSpaceDE w:val="0"/>
        <w:autoSpaceDN w:val="0"/>
        <w:adjustRightInd w:val="0"/>
        <w:ind w:left="142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Приликом попуњавања Табеле 2. попуњавају се само колоне са масом средстава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за плате по корисницима и изворима, тако што се уноси износ масе средстава само у редовима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са празним ћелијама, а осенчене ћелије се не попуњавају. Колоне са бројем запослених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аутоматски попуњавају подацима из табеле Т1.</w:t>
      </w:r>
    </w:p>
    <w:p w:rsidR="00A02142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2142" w:rsidRPr="006A1BDE">
        <w:rPr>
          <w:rFonts w:ascii="Times New Roman" w:hAnsi="Times New Roman" w:cs="Times New Roman"/>
          <w:sz w:val="24"/>
          <w:szCs w:val="24"/>
        </w:rPr>
        <w:t>Табела 3. је табела са бројем запослених чије се плате исплаћују из буџета са осталих економских класификација.</w:t>
      </w:r>
    </w:p>
    <w:p w:rsidR="00A02142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142" w:rsidRPr="006A1BDE">
        <w:rPr>
          <w:rFonts w:ascii="Times New Roman" w:hAnsi="Times New Roman" w:cs="Times New Roman"/>
          <w:sz w:val="24"/>
          <w:szCs w:val="24"/>
        </w:rPr>
        <w:t>Табелa 4. је табела која приказује планиран</w:t>
      </w:r>
      <w:r>
        <w:rPr>
          <w:rFonts w:ascii="Times New Roman" w:hAnsi="Times New Roman" w:cs="Times New Roman"/>
          <w:sz w:val="24"/>
          <w:szCs w:val="24"/>
        </w:rPr>
        <w:t>а и исплаћена средства у 2020. г</w:t>
      </w:r>
      <w:r w:rsidR="00A02142" w:rsidRPr="006A1BDE">
        <w:rPr>
          <w:rFonts w:ascii="Times New Roman" w:hAnsi="Times New Roman" w:cs="Times New Roman"/>
          <w:sz w:val="24"/>
          <w:szCs w:val="24"/>
        </w:rPr>
        <w:t>одини на економској класификацији 465 (за запослене који су право на плату остварили у току 2019. године и раније када је био у примени Закон о привременом уређивању основица за обрачун и исплату плата, односно зарада и других сталних примања код корисника јавних средстава ),,Службени гласник РС'', бр. 116/14 и 95/18), а која је исплаћена у 2020. години.</w:t>
      </w: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84391" w:rsidRPr="00684391" w:rsidRDefault="00A02142" w:rsidP="006A1BDE">
      <w:pPr>
        <w:pStyle w:val="ListParagraph"/>
        <w:autoSpaceDE w:val="0"/>
        <w:autoSpaceDN w:val="0"/>
        <w:adjustRightInd w:val="0"/>
        <w:ind w:left="142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 xml:space="preserve">Табела 5. представља приказ планираних </w:t>
      </w:r>
      <w:r w:rsidR="006A1BDE">
        <w:rPr>
          <w:rFonts w:ascii="Times New Roman" w:hAnsi="Times New Roman" w:cs="Times New Roman"/>
          <w:sz w:val="24"/>
          <w:szCs w:val="24"/>
        </w:rPr>
        <w:t>и исплаћених средстава у 2020. г</w:t>
      </w:r>
      <w:r w:rsidRPr="00A02142">
        <w:rPr>
          <w:rFonts w:ascii="Times New Roman" w:hAnsi="Times New Roman" w:cs="Times New Roman"/>
          <w:sz w:val="24"/>
          <w:szCs w:val="24"/>
        </w:rPr>
        <w:t>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и планираних средстава у 2021. години на економској класификацији 416, као и пратећи 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запослених по овом основу. Напомињемо да се у овој табели приказују планирана/исплаћена</w:t>
      </w:r>
      <w:r w:rsidR="00684391" w:rsidRPr="00684391">
        <w:t xml:space="preserve"> </w:t>
      </w:r>
      <w:r w:rsidR="00684391" w:rsidRPr="00684391">
        <w:rPr>
          <w:rFonts w:ascii="Times New Roman" w:hAnsi="Times New Roman" w:cs="Times New Roman"/>
          <w:sz w:val="24"/>
          <w:szCs w:val="24"/>
        </w:rPr>
        <w:t>средства за јубиларне награде и/или по другом основу, при чему је потребно у табели</w:t>
      </w:r>
      <w:r w:rsidR="00684391">
        <w:rPr>
          <w:rFonts w:ascii="Times New Roman" w:hAnsi="Times New Roman" w:cs="Times New Roman"/>
          <w:sz w:val="24"/>
          <w:szCs w:val="24"/>
        </w:rPr>
        <w:t xml:space="preserve"> </w:t>
      </w:r>
      <w:r w:rsidR="00684391" w:rsidRPr="00684391">
        <w:rPr>
          <w:rFonts w:ascii="Times New Roman" w:hAnsi="Times New Roman" w:cs="Times New Roman"/>
          <w:sz w:val="24"/>
          <w:szCs w:val="24"/>
        </w:rPr>
        <w:t>нагласити који је основ у питању (награде и сл.).</w:t>
      </w:r>
    </w:p>
    <w:p w:rsidR="00684391" w:rsidRPr="00684391" w:rsidRDefault="00684391" w:rsidP="00684391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84391" w:rsidRPr="00684391" w:rsidRDefault="006A1BDE" w:rsidP="006A1BD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4391" w:rsidRPr="00684391">
        <w:rPr>
          <w:rFonts w:ascii="Times New Roman" w:hAnsi="Times New Roman" w:cs="Times New Roman"/>
          <w:sz w:val="24"/>
          <w:szCs w:val="24"/>
        </w:rPr>
        <w:t>Табела 6. односи се на преглед броја запослених и средства за плате у 2021.</w:t>
      </w:r>
    </w:p>
    <w:p w:rsidR="00684391" w:rsidRPr="006A1BDE" w:rsidRDefault="00684391" w:rsidP="006A1BD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684391">
        <w:rPr>
          <w:rFonts w:ascii="Times New Roman" w:hAnsi="Times New Roman" w:cs="Times New Roman"/>
          <w:sz w:val="24"/>
          <w:szCs w:val="24"/>
        </w:rPr>
        <w:t>години по звањима и занимањима у органима јединица локалне власти, а у којој је потребно</w:t>
      </w:r>
      <w:r w:rsidR="006A1BDE">
        <w:rPr>
          <w:rFonts w:ascii="Times New Roman" w:hAnsi="Times New Roman" w:cs="Times New Roman"/>
          <w:sz w:val="24"/>
          <w:szCs w:val="24"/>
        </w:rPr>
        <w:t xml:space="preserve"> </w:t>
      </w:r>
      <w:r w:rsidRPr="00684391">
        <w:rPr>
          <w:rFonts w:ascii="Times New Roman" w:hAnsi="Times New Roman" w:cs="Times New Roman"/>
          <w:sz w:val="24"/>
          <w:szCs w:val="24"/>
        </w:rPr>
        <w:t>унети коефицијенте, додатке за минули рад, додатке за прековремени рад и приправност и</w:t>
      </w:r>
      <w:r w:rsidR="006A1BDE">
        <w:rPr>
          <w:rFonts w:ascii="Times New Roman" w:hAnsi="Times New Roman" w:cs="Times New Roman"/>
          <w:sz w:val="24"/>
          <w:szCs w:val="24"/>
        </w:rPr>
        <w:t xml:space="preserve"> </w:t>
      </w:r>
      <w:r w:rsidRPr="006A1BDE">
        <w:rPr>
          <w:rFonts w:ascii="Times New Roman" w:hAnsi="Times New Roman" w:cs="Times New Roman"/>
          <w:sz w:val="24"/>
          <w:szCs w:val="24"/>
        </w:rPr>
        <w:t>број запослених у органима и организацијама локалне власти.</w:t>
      </w:r>
    </w:p>
    <w:p w:rsidR="00684391" w:rsidRPr="00684391" w:rsidRDefault="00684391" w:rsidP="006A1BDE">
      <w:pPr>
        <w:pStyle w:val="ListParagraph"/>
        <w:autoSpaceDE w:val="0"/>
        <w:autoSpaceDN w:val="0"/>
        <w:adjustRightInd w:val="0"/>
        <w:ind w:left="142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684391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391" w:rsidRPr="006A1BDE">
        <w:rPr>
          <w:rFonts w:ascii="Times New Roman" w:hAnsi="Times New Roman" w:cs="Times New Roman"/>
          <w:sz w:val="24"/>
          <w:szCs w:val="24"/>
        </w:rPr>
        <w:t>Табела 7. односи се на преглед исплаћених средстава на економским</w:t>
      </w:r>
    </w:p>
    <w:p w:rsidR="00684391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391" w:rsidRPr="006A1BDE">
        <w:rPr>
          <w:rFonts w:ascii="Times New Roman" w:hAnsi="Times New Roman" w:cs="Times New Roman"/>
          <w:sz w:val="24"/>
          <w:szCs w:val="24"/>
        </w:rPr>
        <w:t>класификацијама 413-416 у 2020. години, као и планираним средствима у 2021. години.</w:t>
      </w:r>
    </w:p>
    <w:p w:rsidR="00684391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391" w:rsidRPr="006A1BDE">
        <w:rPr>
          <w:rFonts w:ascii="Times New Roman" w:hAnsi="Times New Roman" w:cs="Times New Roman"/>
          <w:sz w:val="24"/>
          <w:szCs w:val="24"/>
        </w:rPr>
        <w:t>Табела 8. односи се на преглед броја запослених на неодређено и одређено време</w:t>
      </w:r>
      <w:r w:rsidR="004001E0" w:rsidRPr="006A1BDE">
        <w:rPr>
          <w:rFonts w:ascii="Times New Roman" w:hAnsi="Times New Roman" w:cs="Times New Roman"/>
          <w:sz w:val="24"/>
          <w:szCs w:val="24"/>
        </w:rPr>
        <w:t xml:space="preserve"> </w:t>
      </w:r>
      <w:r w:rsidR="00684391" w:rsidRPr="006A1BDE">
        <w:rPr>
          <w:rFonts w:ascii="Times New Roman" w:hAnsi="Times New Roman" w:cs="Times New Roman"/>
          <w:sz w:val="24"/>
          <w:szCs w:val="24"/>
        </w:rPr>
        <w:t>у 2021. години, по кварталима. Након истека сваког квартала потребно је да попуњену табелу</w:t>
      </w:r>
      <w:r w:rsidR="004001E0" w:rsidRPr="006A1BDE">
        <w:rPr>
          <w:rFonts w:ascii="Times New Roman" w:hAnsi="Times New Roman" w:cs="Times New Roman"/>
          <w:sz w:val="24"/>
          <w:szCs w:val="24"/>
        </w:rPr>
        <w:t xml:space="preserve"> </w:t>
      </w:r>
      <w:r w:rsidR="00684391" w:rsidRPr="006A1BDE">
        <w:rPr>
          <w:rFonts w:ascii="Times New Roman" w:hAnsi="Times New Roman" w:cs="Times New Roman"/>
          <w:sz w:val="24"/>
          <w:szCs w:val="24"/>
        </w:rPr>
        <w:t xml:space="preserve">доставите </w:t>
      </w:r>
      <w:r w:rsidR="004001E0" w:rsidRPr="006A1BDE">
        <w:rPr>
          <w:rFonts w:ascii="Times New Roman" w:hAnsi="Times New Roman" w:cs="Times New Roman"/>
          <w:sz w:val="24"/>
          <w:szCs w:val="24"/>
        </w:rPr>
        <w:t xml:space="preserve"> Одељењу за буџет </w:t>
      </w:r>
      <w:r>
        <w:rPr>
          <w:rFonts w:ascii="Times New Roman" w:hAnsi="Times New Roman" w:cs="Times New Roman"/>
          <w:sz w:val="24"/>
          <w:szCs w:val="24"/>
        </w:rPr>
        <w:t xml:space="preserve"> и финансије,</w:t>
      </w:r>
    </w:p>
    <w:p w:rsidR="00684391" w:rsidRPr="00684391" w:rsidRDefault="00684391" w:rsidP="00684391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84391" w:rsidRPr="000F50EF" w:rsidRDefault="00684391" w:rsidP="006A1BDE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684391">
        <w:rPr>
          <w:rFonts w:ascii="Times New Roman" w:hAnsi="Times New Roman" w:cs="Times New Roman"/>
          <w:sz w:val="24"/>
          <w:szCs w:val="24"/>
        </w:rPr>
        <w:t>Штампани формат табела Прилога 1- Преглед броја запослених и средстава за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плате, треба имати печат и потпис одговорног лица као и број телефона.</w:t>
      </w:r>
    </w:p>
    <w:p w:rsidR="00A02142" w:rsidRDefault="00A02142" w:rsidP="00684391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6A1BDE" w:rsidRDefault="000F50EF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DE">
        <w:rPr>
          <w:rFonts w:ascii="Times New Roman" w:hAnsi="Times New Roman" w:cs="Times New Roman"/>
          <w:b/>
          <w:sz w:val="24"/>
          <w:szCs w:val="24"/>
        </w:rPr>
        <w:t>Група конта 42 - Коришћење услуга и роба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0F50EF" w:rsidP="000C15D3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У оквиру групе конта која се односе на куповину роба и услуга, потребно је реално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планирати средства за ове намене у 2020. години, водећи рачуна да се не угрози извршавање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сталних трошкова (421 - Стални трошкови).</w:t>
      </w:r>
    </w:p>
    <w:p w:rsidR="000F50EF" w:rsidRPr="000C15D3" w:rsidRDefault="000C15D3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0EF" w:rsidRPr="000C15D3">
        <w:rPr>
          <w:rFonts w:ascii="Times New Roman" w:hAnsi="Times New Roman" w:cs="Times New Roman"/>
          <w:sz w:val="24"/>
          <w:szCs w:val="24"/>
        </w:rPr>
        <w:t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</w:t>
      </w:r>
    </w:p>
    <w:p w:rsidR="000F50EF" w:rsidRDefault="000C15D3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Посебно је приликом планирања ове групе конта потребан крајње реалан приступ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и са аспекта Закона о роковима измирења новчаних обавеза у комерцијалним трансакцијама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(„Службени гласник РСˮ, бр. 119/12, 68/15, 113/17 и 91/19).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C15D3" w:rsidRDefault="000F50EF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D3">
        <w:rPr>
          <w:rFonts w:ascii="Times New Roman" w:hAnsi="Times New Roman" w:cs="Times New Roman"/>
          <w:b/>
          <w:sz w:val="24"/>
          <w:szCs w:val="24"/>
        </w:rPr>
        <w:t>Група конта 45 - Субвенције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0C15D3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У оквиру субвенција неопходно је преиспитати све програме по основу којих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додељују субвенције. Приликом планирања средстава за субвенције и њихових намена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посебно треба имати у виду све прописе који се тичу државне помоћи.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C15D3" w:rsidRDefault="000F50EF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D3">
        <w:rPr>
          <w:rFonts w:ascii="Times New Roman" w:hAnsi="Times New Roman" w:cs="Times New Roman"/>
          <w:b/>
          <w:sz w:val="24"/>
          <w:szCs w:val="24"/>
        </w:rPr>
        <w:t>Група конта 48 - Остали расходи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0C15D3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Приликом планирања наведених расхода, треба имати у виду да се услед</w:t>
      </w:r>
    </w:p>
    <w:p w:rsidR="000F50EF" w:rsidRPr="000F50EF" w:rsidRDefault="000F50EF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недовољног износа средстава на економској класификацији 483 - Новчане казне и пенали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решењу судова, иста повећава смањењем осталих економских класификација, на којима 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због наведеног, неопходно прилагодити преузимање обавеза, како би се на тај начин спречило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стварање доцњи.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B64945" w:rsidRDefault="000F50EF" w:rsidP="00B64945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945">
        <w:rPr>
          <w:rFonts w:ascii="Times New Roman" w:hAnsi="Times New Roman" w:cs="Times New Roman"/>
          <w:b/>
          <w:i/>
          <w:sz w:val="24"/>
          <w:szCs w:val="24"/>
        </w:rPr>
        <w:t>Смернице за исказивање издатака за капиталне пројекте</w:t>
      </w: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EF">
        <w:rPr>
          <w:rFonts w:ascii="Times New Roman" w:hAnsi="Times New Roman" w:cs="Times New Roman"/>
          <w:b/>
          <w:sz w:val="24"/>
          <w:szCs w:val="24"/>
        </w:rPr>
        <w:t>Класа 5 - Издаци за нефинансијску имовину</w:t>
      </w:r>
    </w:p>
    <w:p w:rsidR="00B64945" w:rsidRPr="00B64945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Pr="000F50EF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У циљу ефикасног планирања, важно је да корисници расходе за текуће поправке  одржавање зграда, објеката и опреме (за молерске, зидарске радове, поправке електронске</w:t>
      </w:r>
      <w:r w:rsidR="000F50EF">
        <w:rPr>
          <w:rFonts w:ascii="Times New Roman" w:hAnsi="Times New Roman" w:cs="Times New Roman"/>
          <w:sz w:val="24"/>
          <w:szCs w:val="24"/>
        </w:rPr>
        <w:t xml:space="preserve"> и </w:t>
      </w:r>
      <w:r w:rsidR="000F50EF" w:rsidRP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електричне опреме, замена санитарија, радијатора и сличне послове), којима се чув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 xml:space="preserve">упoтрeбнa врeднoст зграда, објеката и опреме у стaњу кoje je билo у </w:t>
      </w:r>
      <w:r w:rsidR="000F50EF" w:rsidRPr="000F50EF">
        <w:rPr>
          <w:rFonts w:ascii="Times New Roman" w:hAnsi="Times New Roman" w:cs="Times New Roman"/>
          <w:sz w:val="24"/>
          <w:szCs w:val="24"/>
        </w:rPr>
        <w:lastRenderedPageBreak/>
        <w:t>трeнутку изгрaдњe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oднoснo рeкoнструкциje и којима се не увећава њихова инвестициона вредност планирају н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>апропријацији економске класификације 425 - Текуће поправке и одржавање, док се средств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>за капитално одржавање (знaчajни, дугoрoчни рaдoви нa рeнoвирaњу и унaпрeђeњу пoстojeћи</w:t>
      </w:r>
      <w:r w:rsidR="003D349B">
        <w:rPr>
          <w:rFonts w:ascii="Times New Roman" w:hAnsi="Times New Roman" w:cs="Times New Roman"/>
          <w:sz w:val="24"/>
          <w:szCs w:val="24"/>
        </w:rPr>
        <w:t xml:space="preserve">х </w:t>
      </w:r>
      <w:r w:rsidR="000F50EF" w:rsidRPr="000F50EF">
        <w:rPr>
          <w:rFonts w:ascii="Times New Roman" w:hAnsi="Times New Roman" w:cs="Times New Roman"/>
          <w:sz w:val="24"/>
          <w:szCs w:val="24"/>
        </w:rPr>
        <w:t>oбjeкaтa и опреме, адаптација, реконструкција, санација и др.) планирају на контима класе 5.</w:t>
      </w:r>
    </w:p>
    <w:p w:rsidR="000F50EF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Приликом планирања и реализације капиталних пројакта јединице локалне самоуправе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треба увек да имају у виду периода који је потребан за реализацију пројеката и динамике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плаћања који прати исти, те да сходно наведеном размотре могућност вишегодишњег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финансирања истих, а у циљу спречавања оптерећења буџета.</w:t>
      </w:r>
    </w:p>
    <w:p w:rsidR="000F50EF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945"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Такође, приликом приказивања издатака за капиталне пројекте у буџету за 2021.</w:t>
      </w: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годину и наредне две године, потребно је приказати не само оне капиталне пројекте који бити започети и реализовани у 2021. години, већ и оне који су започети у претходним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годинама а чија је реализација у току и при томе навести све релевантне податке везане за исте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(годину почетка финансирања, годину завршетка финансирања, укупну вредност пројекта,изворе финансирања, тј. приходе из буџета, трансфере од других нивоа власти итд.).</w:t>
      </w:r>
    </w:p>
    <w:p w:rsidR="003D349B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3D349B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9B">
        <w:rPr>
          <w:rFonts w:ascii="Times New Roman" w:hAnsi="Times New Roman" w:cs="Times New Roman"/>
          <w:b/>
          <w:sz w:val="24"/>
          <w:szCs w:val="24"/>
        </w:rPr>
        <w:t>Капитални пројекти</w:t>
      </w:r>
    </w:p>
    <w:p w:rsidR="000F50EF" w:rsidRPr="003D349B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Pr="000F50EF" w:rsidRDefault="00B64945" w:rsidP="00A64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Капитални пројекти су пројекти изградње и капиталног одржавања зграда и</w:t>
      </w:r>
    </w:p>
    <w:p w:rsidR="000F50EF" w:rsidRPr="000F50EF" w:rsidRDefault="000F50EF" w:rsidP="00A64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грађевинских објеката инфраструктуре од интереса за Републику Србију, односно локалну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власт укључујући услуге пројектног планирања које је саставни део пројекта, обезбеђивање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земљишта за изградњу, као и пројекти који подразумевају улагања у опрему, машине и другу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нефинансијску имовину, а у функцији су јавног интереса.</w:t>
      </w:r>
    </w:p>
    <w:p w:rsidR="000F50EF" w:rsidRP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Капитални пројекти планирају се и укључују у буџет у складу са одредбама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Уредбе о управљању капиталним пројектима („Службени гласник РС”, бр. 51/19).</w:t>
      </w:r>
    </w:p>
    <w:p w:rsidR="000F50EF" w:rsidRP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9B" w:rsidRDefault="00B64945" w:rsidP="003D3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9B" w:rsidRPr="001E77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Планирање издатака капиталног пројекта</w:t>
      </w:r>
    </w:p>
    <w:p w:rsidR="003D349B" w:rsidRDefault="003D349B" w:rsidP="003D34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3D349B" w:rsidRPr="000F42BB" w:rsidRDefault="003D349B" w:rsidP="009E0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Ради ефикаснијег планирања издатака капиталних пројеката корисници</w:t>
      </w:r>
      <w:r w:rsidR="009E0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буџетских средстава дужни су да искажу </w:t>
      </w:r>
      <w:r w:rsidR="009E052D">
        <w:rPr>
          <w:rFonts w:ascii="Times New Roman" w:hAnsi="Times New Roman" w:cs="Times New Roman"/>
          <w:sz w:val="24"/>
          <w:szCs w:val="24"/>
        </w:rPr>
        <w:t>планиране издатке за капиталне пројекте по годинама који се односе на изградњу и капитално одржавање, по контима на трећем и четвртом нивоу, и 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9B" w:rsidRPr="00374601" w:rsidRDefault="003D349B" w:rsidP="003D349B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374601">
        <w:rPr>
          <w:rFonts w:ascii="Times New Roman" w:hAnsi="Times New Roman" w:cs="Times New Roman"/>
          <w:sz w:val="24"/>
          <w:szCs w:val="24"/>
        </w:rPr>
        <w:t xml:space="preserve">1) издатке за израду пројектно-техничке документације на конту 5114 (осим уколико је иста већ израђена); </w:t>
      </w:r>
    </w:p>
    <w:p w:rsidR="003D349B" w:rsidRPr="00374601" w:rsidRDefault="003D349B" w:rsidP="003D349B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74601">
        <w:rPr>
          <w:rFonts w:ascii="Times New Roman" w:hAnsi="Times New Roman" w:cs="Times New Roman"/>
          <w:sz w:val="24"/>
          <w:szCs w:val="24"/>
        </w:rPr>
        <w:t xml:space="preserve">2) издатке за експропријацију земљишта на конту 5411; </w:t>
      </w:r>
    </w:p>
    <w:p w:rsidR="003D349B" w:rsidRPr="00374601" w:rsidRDefault="003D349B" w:rsidP="003D349B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74601">
        <w:rPr>
          <w:rFonts w:ascii="Times New Roman" w:hAnsi="Times New Roman" w:cs="Times New Roman"/>
          <w:sz w:val="24"/>
          <w:szCs w:val="24"/>
        </w:rPr>
        <w:t xml:space="preserve">3) издатке за извођење радова на изградњи, односно извођење радова на капиталном одржавању на контима 5112 и 5113; </w:t>
      </w:r>
    </w:p>
    <w:p w:rsidR="003D349B" w:rsidRDefault="003D349B" w:rsidP="003D3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74601">
        <w:rPr>
          <w:rFonts w:ascii="Times New Roman" w:hAnsi="Times New Roman" w:cs="Times New Roman"/>
          <w:sz w:val="24"/>
          <w:szCs w:val="24"/>
        </w:rPr>
        <w:t xml:space="preserve">4) издатке за ангажовање стручног надзора на конту 5114 (осим уколико исти нису планирани од стране инвеститора или на неки други начин). </w:t>
      </w:r>
    </w:p>
    <w:p w:rsidR="009E052D" w:rsidRPr="009E052D" w:rsidRDefault="009E052D" w:rsidP="003D3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52D" w:rsidRDefault="009E052D" w:rsidP="003D3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циљу реалног планирања издатака капиталног пројекта, неопходно је да корисници образложе тренутни статус дозвола и сагласности (локацијска, грађевинска дозвола, сагласности одговарајућих јавних предузећа) које су неопходне за почетак извођења радова. Корисници су дужни да планирају расходе, који су у вези са добијањем ових дозвола и сагласности, на одговарајућим контима. Неопходно је, на основу свеобухватне процене потреба, пројекте рангирати по приоритетима, у складу са </w:t>
      </w:r>
      <w:r>
        <w:rPr>
          <w:rFonts w:ascii="Times New Roman" w:hAnsi="Times New Roman" w:cs="Times New Roman"/>
          <w:sz w:val="24"/>
          <w:szCs w:val="24"/>
        </w:rPr>
        <w:lastRenderedPageBreak/>
        <w:t>усвојеним стратешким документима, строго водећи рачуна да приоритет у финансирању  имају већ започети пројекти.</w:t>
      </w:r>
    </w:p>
    <w:p w:rsidR="009E052D" w:rsidRPr="009E052D" w:rsidRDefault="009E052D" w:rsidP="003D3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70" w:rsidRPr="00A649D9" w:rsidRDefault="00A649D9" w:rsidP="00A649D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8.</w:t>
      </w:r>
      <w:r w:rsidR="008B3A4F" w:rsidRPr="00A64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76A" w:rsidRPr="00A649D9">
        <w:rPr>
          <w:rFonts w:ascii="Times New Roman" w:hAnsi="Times New Roman" w:cs="Times New Roman"/>
          <w:b/>
          <w:bCs/>
          <w:i/>
          <w:sz w:val="24"/>
          <w:szCs w:val="24"/>
        </w:rPr>
        <w:t>Поступак и динамика достављања</w:t>
      </w:r>
      <w:r w:rsidR="000F42BB" w:rsidRPr="00A649D9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</w:t>
      </w:r>
      <w:r w:rsidR="0061376A" w:rsidRPr="00A649D9">
        <w:rPr>
          <w:rFonts w:ascii="Times New Roman" w:hAnsi="Times New Roman" w:cs="Times New Roman"/>
          <w:b/>
          <w:bCs/>
          <w:i/>
          <w:sz w:val="24"/>
          <w:szCs w:val="24"/>
        </w:rPr>
        <w:t>предлога  финансијског плана буџетских корисника</w:t>
      </w:r>
    </w:p>
    <w:p w:rsidR="008B3A4F" w:rsidRDefault="008B3A4F" w:rsidP="00AA1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70" w:rsidRDefault="001A1D81" w:rsidP="00AA1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У</w:t>
      </w:r>
      <w:r w:rsidR="008B3A4F" w:rsidRPr="008B3A4F">
        <w:rPr>
          <w:rFonts w:ascii="Times New Roman" w:hAnsi="Times New Roman" w:cs="Times New Roman"/>
          <w:sz w:val="24"/>
          <w:szCs w:val="24"/>
        </w:rPr>
        <w:t xml:space="preserve">пуства за припрему </w:t>
      </w:r>
      <w:r w:rsidR="008B3A4F">
        <w:rPr>
          <w:rFonts w:ascii="Times New Roman" w:hAnsi="Times New Roman" w:cs="Times New Roman"/>
          <w:sz w:val="24"/>
          <w:szCs w:val="24"/>
        </w:rPr>
        <w:t xml:space="preserve"> нацрта буџета , корисници буџетских средстава израђују предлог средњорочног и годишњег финансијског плана.</w:t>
      </w:r>
    </w:p>
    <w:p w:rsidR="00F91943" w:rsidRPr="001A1D81" w:rsidRDefault="00A649D9" w:rsidP="001A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="001A1D81">
        <w:rPr>
          <w:rFonts w:ascii="Times New Roman" w:hAnsi="Times New Roman" w:cs="Times New Roman"/>
          <w:sz w:val="24"/>
          <w:szCs w:val="24"/>
        </w:rPr>
        <w:t xml:space="preserve"> </w:t>
      </w:r>
      <w:r w:rsidR="00F91943"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Предлог финансијског плана састоји се од: 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1) Обрасци за програмски буџет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2) Прилог 1- Преглед броја запослених и средства за плате</w:t>
      </w:r>
    </w:p>
    <w:p w:rsidR="00F91943" w:rsidRPr="008B3A4F" w:rsidRDefault="008B3A4F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Детаљно писано образложење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 и издатака, као и извора финансирања;</w:t>
      </w:r>
      <w:r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 све врсте трошкова и издатака (навести конкретно за шта ће се трошити средства, а не само називе конта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1943" w:rsidRDefault="008B3A4F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Образац Извештаја о учинку</w:t>
      </w:r>
    </w:p>
    <w:p w:rsidR="008B3A4F" w:rsidRDefault="00433E27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B3A4F">
        <w:rPr>
          <w:rFonts w:ascii="Times New Roman" w:hAnsi="Times New Roman" w:cs="Times New Roman"/>
          <w:color w:val="000000" w:themeColor="text1"/>
          <w:sz w:val="24"/>
          <w:szCs w:val="24"/>
        </w:rPr>
        <w:t>Сваки образац, као и образложење мора бити потписано од стране овлашћњног лица и оверено печатом. Захтеви без образложења неће се разматрати, као ни захтеви за капиталне пројекте који не садрже сву потребну и неопходну пратећу документацију.</w:t>
      </w:r>
    </w:p>
    <w:p w:rsidR="00F237E0" w:rsidRDefault="001A1D81" w:rsidP="001A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Упућујемо кориснике буџета Општине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на интернет страници Министарства финансија и општине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налази Упутство за израду програмског буџета које је потребно користити за припрему предл</w:t>
      </w:r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>ога финансијских планова</w:t>
      </w:r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5A59" w:rsidRPr="00F237E0" w:rsidRDefault="008548AF" w:rsidP="00F237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Упутство за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припрему буџета општине Миница за 2</w:t>
      </w:r>
      <w:r w:rsidR="00433E27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 w:rsidR="00E05F5F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као и </w:t>
      </w:r>
      <w:r w:rsidR="00E05F5F">
        <w:rPr>
          <w:rFonts w:ascii="Times New Roman" w:hAnsi="Times New Roman" w:cs="Times New Roman"/>
          <w:color w:val="000000" w:themeColor="text1"/>
          <w:sz w:val="24"/>
          <w:szCs w:val="24"/>
        </w:rPr>
        <w:t>све потребне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обрасце,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корисници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4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преузети на </w:t>
      </w:r>
      <w:r w:rsidR="00E05F5F" w:rsidRPr="00E05F5F">
        <w:rPr>
          <w:rFonts w:ascii="Times New Roman" w:hAnsi="Times New Roman" w:cs="Times New Roman"/>
          <w:bCs/>
          <w:sz w:val="24"/>
          <w:szCs w:val="24"/>
          <w:lang w:val="sr-Cyrl-CS"/>
        </w:rPr>
        <w:t>https://www.mionica.rs/sr-rs/budz/category/461-budz-2021</w:t>
      </w:r>
      <w:r w:rsidR="00E05F5F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A1170" w:rsidRDefault="00AA1170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170" w:rsidRPr="00280831" w:rsidRDefault="00AA1170" w:rsidP="00AA11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4604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="00433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ОДЕЉЕЊА</w:t>
      </w:r>
      <w:r w:rsidR="001A1D8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AA1170" w:rsidRPr="00AA1170" w:rsidRDefault="00AA1170" w:rsidP="00AA11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604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Кристина Чарапић</w:t>
      </w:r>
      <w:r w:rsidR="00433E27">
        <w:rPr>
          <w:rFonts w:ascii="Times New Roman" w:hAnsi="Times New Roman" w:cs="Times New Roman"/>
          <w:sz w:val="24"/>
          <w:szCs w:val="24"/>
          <w:lang w:val="ru-RU"/>
        </w:rPr>
        <w:t>, с.р.</w:t>
      </w:r>
    </w:p>
    <w:p w:rsidR="00A162A7" w:rsidRPr="00374601" w:rsidRDefault="00A162A7" w:rsidP="006931CC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162A7" w:rsidRPr="00374601" w:rsidSect="00FB48DF">
      <w:footerReference w:type="default" r:id="rId9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29" w:rsidRDefault="00FB6129" w:rsidP="00FB5204">
      <w:r>
        <w:separator/>
      </w:r>
    </w:p>
  </w:endnote>
  <w:endnote w:type="continuationSeparator" w:id="1">
    <w:p w:rsidR="00FB6129" w:rsidRDefault="00FB6129" w:rsidP="00FB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5F8" w:rsidRDefault="00D30C3B">
        <w:pPr>
          <w:pStyle w:val="Footer"/>
          <w:jc w:val="right"/>
        </w:pPr>
        <w:fldSimple w:instr=" PAGE   \* MERGEFORMAT ">
          <w:r w:rsidR="00A649D9">
            <w:rPr>
              <w:noProof/>
            </w:rPr>
            <w:t>12</w:t>
          </w:r>
        </w:fldSimple>
      </w:p>
    </w:sdtContent>
  </w:sdt>
  <w:p w:rsidR="00FD75F8" w:rsidRDefault="00FD7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29" w:rsidRDefault="00FB6129" w:rsidP="00FB5204">
      <w:r>
        <w:separator/>
      </w:r>
    </w:p>
  </w:footnote>
  <w:footnote w:type="continuationSeparator" w:id="1">
    <w:p w:rsidR="00FB6129" w:rsidRDefault="00FB6129" w:rsidP="00FB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D9608"/>
    <w:multiLevelType w:val="hybridMultilevel"/>
    <w:tmpl w:val="5D15A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02A25"/>
    <w:multiLevelType w:val="hybridMultilevel"/>
    <w:tmpl w:val="EE782E2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258F9FA"/>
    <w:multiLevelType w:val="hybridMultilevel"/>
    <w:tmpl w:val="587D8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3A1F81"/>
    <w:multiLevelType w:val="hybridMultilevel"/>
    <w:tmpl w:val="032C2B10"/>
    <w:lvl w:ilvl="0" w:tplc="E2C07F3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B57F2"/>
    <w:multiLevelType w:val="hybridMultilevel"/>
    <w:tmpl w:val="3FECC026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BD927D2"/>
    <w:multiLevelType w:val="hybridMultilevel"/>
    <w:tmpl w:val="C512EF2A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1440E78"/>
    <w:multiLevelType w:val="hybridMultilevel"/>
    <w:tmpl w:val="43AC7CBE"/>
    <w:lvl w:ilvl="0" w:tplc="F4F02394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16472"/>
    <w:multiLevelType w:val="hybridMultilevel"/>
    <w:tmpl w:val="F0406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60E479F"/>
    <w:multiLevelType w:val="hybridMultilevel"/>
    <w:tmpl w:val="38D82AB2"/>
    <w:lvl w:ilvl="0" w:tplc="20F8145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1C24EF"/>
    <w:multiLevelType w:val="hybridMultilevel"/>
    <w:tmpl w:val="A710B644"/>
    <w:lvl w:ilvl="0" w:tplc="503221B6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617411"/>
    <w:multiLevelType w:val="hybridMultilevel"/>
    <w:tmpl w:val="85F6C614"/>
    <w:lvl w:ilvl="0" w:tplc="6B32FBFC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6911"/>
    <w:multiLevelType w:val="hybridMultilevel"/>
    <w:tmpl w:val="DC52E1B8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62E6AB3"/>
    <w:multiLevelType w:val="hybridMultilevel"/>
    <w:tmpl w:val="4C84E63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27D62"/>
    <w:multiLevelType w:val="hybridMultilevel"/>
    <w:tmpl w:val="B82876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54504A"/>
    <w:multiLevelType w:val="hybridMultilevel"/>
    <w:tmpl w:val="4C84DB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558E770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9EA428B"/>
    <w:multiLevelType w:val="hybridMultilevel"/>
    <w:tmpl w:val="32A0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D6B"/>
    <w:multiLevelType w:val="hybridMultilevel"/>
    <w:tmpl w:val="81B69A5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335C1B"/>
    <w:multiLevelType w:val="hybridMultilevel"/>
    <w:tmpl w:val="D9CE4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0575"/>
    <w:multiLevelType w:val="hybridMultilevel"/>
    <w:tmpl w:val="5852D78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B5B14"/>
    <w:multiLevelType w:val="hybridMultilevel"/>
    <w:tmpl w:val="9BB04CEC"/>
    <w:lvl w:ilvl="0" w:tplc="75440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5B1F"/>
    <w:multiLevelType w:val="hybridMultilevel"/>
    <w:tmpl w:val="E5022E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F51C1C"/>
    <w:multiLevelType w:val="hybridMultilevel"/>
    <w:tmpl w:val="4300B6F6"/>
    <w:lvl w:ilvl="0" w:tplc="20F81450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46E15831"/>
    <w:multiLevelType w:val="hybridMultilevel"/>
    <w:tmpl w:val="142899FE"/>
    <w:lvl w:ilvl="0" w:tplc="27E2839C">
      <w:start w:val="5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B8A35"/>
    <w:multiLevelType w:val="hybridMultilevel"/>
    <w:tmpl w:val="E21CDA16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772E23"/>
    <w:multiLevelType w:val="hybridMultilevel"/>
    <w:tmpl w:val="5BCE5790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36044CC"/>
    <w:multiLevelType w:val="hybridMultilevel"/>
    <w:tmpl w:val="CD723C08"/>
    <w:lvl w:ilvl="0" w:tplc="9A4AB48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256B2F"/>
    <w:multiLevelType w:val="hybridMultilevel"/>
    <w:tmpl w:val="F57E6E2A"/>
    <w:lvl w:ilvl="0" w:tplc="38047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351"/>
    <w:multiLevelType w:val="hybridMultilevel"/>
    <w:tmpl w:val="360007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74E5CE6"/>
    <w:multiLevelType w:val="hybridMultilevel"/>
    <w:tmpl w:val="0570E174"/>
    <w:lvl w:ilvl="0" w:tplc="04800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5233F"/>
    <w:multiLevelType w:val="hybridMultilevel"/>
    <w:tmpl w:val="E3B06A32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06C422D"/>
    <w:multiLevelType w:val="hybridMultilevel"/>
    <w:tmpl w:val="5ABEC072"/>
    <w:lvl w:ilvl="0" w:tplc="45BCC4A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135B04"/>
    <w:multiLevelType w:val="hybridMultilevel"/>
    <w:tmpl w:val="F5021342"/>
    <w:lvl w:ilvl="0" w:tplc="78FCE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6"/>
  </w:num>
  <w:num w:numId="5">
    <w:abstractNumId w:val="20"/>
  </w:num>
  <w:num w:numId="6">
    <w:abstractNumId w:val="11"/>
  </w:num>
  <w:num w:numId="7">
    <w:abstractNumId w:val="31"/>
  </w:num>
  <w:num w:numId="8">
    <w:abstractNumId w:val="8"/>
  </w:num>
  <w:num w:numId="9">
    <w:abstractNumId w:val="18"/>
  </w:num>
  <w:num w:numId="10">
    <w:abstractNumId w:val="19"/>
  </w:num>
  <w:num w:numId="11">
    <w:abstractNumId w:val="25"/>
  </w:num>
  <w:num w:numId="12">
    <w:abstractNumId w:val="7"/>
  </w:num>
  <w:num w:numId="13">
    <w:abstractNumId w:val="4"/>
  </w:num>
  <w:num w:numId="14">
    <w:abstractNumId w:val="5"/>
  </w:num>
  <w:num w:numId="15">
    <w:abstractNumId w:val="29"/>
  </w:num>
  <w:num w:numId="16">
    <w:abstractNumId w:val="24"/>
  </w:num>
  <w:num w:numId="17">
    <w:abstractNumId w:val="21"/>
  </w:num>
  <w:num w:numId="18">
    <w:abstractNumId w:val="15"/>
  </w:num>
  <w:num w:numId="19">
    <w:abstractNumId w:val="6"/>
  </w:num>
  <w:num w:numId="20">
    <w:abstractNumId w:val="14"/>
  </w:num>
  <w:num w:numId="21">
    <w:abstractNumId w:val="22"/>
  </w:num>
  <w:num w:numId="22">
    <w:abstractNumId w:val="3"/>
  </w:num>
  <w:num w:numId="23">
    <w:abstractNumId w:val="17"/>
  </w:num>
  <w:num w:numId="24">
    <w:abstractNumId w:val="28"/>
  </w:num>
  <w:num w:numId="25">
    <w:abstractNumId w:val="30"/>
  </w:num>
  <w:num w:numId="26">
    <w:abstractNumId w:val="1"/>
  </w:num>
  <w:num w:numId="27">
    <w:abstractNumId w:val="27"/>
  </w:num>
  <w:num w:numId="28">
    <w:abstractNumId w:val="9"/>
  </w:num>
  <w:num w:numId="29">
    <w:abstractNumId w:val="10"/>
  </w:num>
  <w:num w:numId="30">
    <w:abstractNumId w:val="13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87"/>
    <w:rsid w:val="00002172"/>
    <w:rsid w:val="0000246B"/>
    <w:rsid w:val="000100BF"/>
    <w:rsid w:val="00021475"/>
    <w:rsid w:val="000245EF"/>
    <w:rsid w:val="00026606"/>
    <w:rsid w:val="000268E8"/>
    <w:rsid w:val="00027C2F"/>
    <w:rsid w:val="00034FD1"/>
    <w:rsid w:val="000464AC"/>
    <w:rsid w:val="00054A78"/>
    <w:rsid w:val="00055070"/>
    <w:rsid w:val="00064377"/>
    <w:rsid w:val="000665CB"/>
    <w:rsid w:val="00072ECA"/>
    <w:rsid w:val="00077C7C"/>
    <w:rsid w:val="00086000"/>
    <w:rsid w:val="000A379F"/>
    <w:rsid w:val="000B4A8D"/>
    <w:rsid w:val="000C15D3"/>
    <w:rsid w:val="000C6286"/>
    <w:rsid w:val="000D0E71"/>
    <w:rsid w:val="000F42BB"/>
    <w:rsid w:val="000F50EF"/>
    <w:rsid w:val="001054F6"/>
    <w:rsid w:val="00114CEC"/>
    <w:rsid w:val="00122C37"/>
    <w:rsid w:val="00130DAD"/>
    <w:rsid w:val="001547C7"/>
    <w:rsid w:val="001607B3"/>
    <w:rsid w:val="0017198F"/>
    <w:rsid w:val="00171A02"/>
    <w:rsid w:val="00175FC4"/>
    <w:rsid w:val="00187FF2"/>
    <w:rsid w:val="0019176C"/>
    <w:rsid w:val="00195975"/>
    <w:rsid w:val="001A1D81"/>
    <w:rsid w:val="001A45B1"/>
    <w:rsid w:val="001C37ED"/>
    <w:rsid w:val="001D3AC9"/>
    <w:rsid w:val="001D707F"/>
    <w:rsid w:val="001E07A7"/>
    <w:rsid w:val="001E772F"/>
    <w:rsid w:val="001F4340"/>
    <w:rsid w:val="00205A29"/>
    <w:rsid w:val="00205B07"/>
    <w:rsid w:val="00211908"/>
    <w:rsid w:val="00216BA0"/>
    <w:rsid w:val="0022085B"/>
    <w:rsid w:val="00221789"/>
    <w:rsid w:val="00223390"/>
    <w:rsid w:val="00223B84"/>
    <w:rsid w:val="00242156"/>
    <w:rsid w:val="00243057"/>
    <w:rsid w:val="00246225"/>
    <w:rsid w:val="00254AB9"/>
    <w:rsid w:val="00254C68"/>
    <w:rsid w:val="00261569"/>
    <w:rsid w:val="00267A34"/>
    <w:rsid w:val="00274387"/>
    <w:rsid w:val="0027464B"/>
    <w:rsid w:val="00275F3E"/>
    <w:rsid w:val="00284BB3"/>
    <w:rsid w:val="002900B1"/>
    <w:rsid w:val="00296D42"/>
    <w:rsid w:val="002972FF"/>
    <w:rsid w:val="00297EB6"/>
    <w:rsid w:val="002A58C7"/>
    <w:rsid w:val="002D29D4"/>
    <w:rsid w:val="002D2E49"/>
    <w:rsid w:val="002D79CA"/>
    <w:rsid w:val="002E16DE"/>
    <w:rsid w:val="002F7813"/>
    <w:rsid w:val="00305AF3"/>
    <w:rsid w:val="003078FD"/>
    <w:rsid w:val="00310343"/>
    <w:rsid w:val="003205CD"/>
    <w:rsid w:val="0032700C"/>
    <w:rsid w:val="00340645"/>
    <w:rsid w:val="00343DF3"/>
    <w:rsid w:val="00352923"/>
    <w:rsid w:val="00355FF0"/>
    <w:rsid w:val="003626D4"/>
    <w:rsid w:val="0036455C"/>
    <w:rsid w:val="003721A3"/>
    <w:rsid w:val="003736DE"/>
    <w:rsid w:val="003737D4"/>
    <w:rsid w:val="00374601"/>
    <w:rsid w:val="00382184"/>
    <w:rsid w:val="00383559"/>
    <w:rsid w:val="00383788"/>
    <w:rsid w:val="003A10E9"/>
    <w:rsid w:val="003A2FAA"/>
    <w:rsid w:val="003B47F9"/>
    <w:rsid w:val="003B654D"/>
    <w:rsid w:val="003D349B"/>
    <w:rsid w:val="003D507A"/>
    <w:rsid w:val="003D55D1"/>
    <w:rsid w:val="003E3BC4"/>
    <w:rsid w:val="003F0A12"/>
    <w:rsid w:val="003F2D45"/>
    <w:rsid w:val="003F60D2"/>
    <w:rsid w:val="004001E0"/>
    <w:rsid w:val="004012A3"/>
    <w:rsid w:val="00402602"/>
    <w:rsid w:val="0040516E"/>
    <w:rsid w:val="0041016B"/>
    <w:rsid w:val="00415ED6"/>
    <w:rsid w:val="00426298"/>
    <w:rsid w:val="0043101E"/>
    <w:rsid w:val="00433E27"/>
    <w:rsid w:val="004406B6"/>
    <w:rsid w:val="00454E2D"/>
    <w:rsid w:val="00460438"/>
    <w:rsid w:val="004662D3"/>
    <w:rsid w:val="004739E0"/>
    <w:rsid w:val="00477690"/>
    <w:rsid w:val="0048321A"/>
    <w:rsid w:val="00485C2B"/>
    <w:rsid w:val="00485D9E"/>
    <w:rsid w:val="00487029"/>
    <w:rsid w:val="00495B5D"/>
    <w:rsid w:val="00495C57"/>
    <w:rsid w:val="004A2A8A"/>
    <w:rsid w:val="004B2DB9"/>
    <w:rsid w:val="004B50D4"/>
    <w:rsid w:val="004B752F"/>
    <w:rsid w:val="004C26FB"/>
    <w:rsid w:val="004C5065"/>
    <w:rsid w:val="004E561F"/>
    <w:rsid w:val="00501566"/>
    <w:rsid w:val="00505F22"/>
    <w:rsid w:val="00512365"/>
    <w:rsid w:val="00543109"/>
    <w:rsid w:val="00547F8C"/>
    <w:rsid w:val="00555D54"/>
    <w:rsid w:val="00572246"/>
    <w:rsid w:val="0058278F"/>
    <w:rsid w:val="0058623F"/>
    <w:rsid w:val="00596A3D"/>
    <w:rsid w:val="00596C7C"/>
    <w:rsid w:val="0059723C"/>
    <w:rsid w:val="005A2A2A"/>
    <w:rsid w:val="005B0FCF"/>
    <w:rsid w:val="005B4388"/>
    <w:rsid w:val="005B54BE"/>
    <w:rsid w:val="005B7454"/>
    <w:rsid w:val="005C3B95"/>
    <w:rsid w:val="005D0BD3"/>
    <w:rsid w:val="005E12FC"/>
    <w:rsid w:val="005E5409"/>
    <w:rsid w:val="005F1FFF"/>
    <w:rsid w:val="005F430C"/>
    <w:rsid w:val="006008D2"/>
    <w:rsid w:val="00603B00"/>
    <w:rsid w:val="00612090"/>
    <w:rsid w:val="0061376A"/>
    <w:rsid w:val="00620876"/>
    <w:rsid w:val="00632093"/>
    <w:rsid w:val="00643B1B"/>
    <w:rsid w:val="00647B2E"/>
    <w:rsid w:val="0065046E"/>
    <w:rsid w:val="00651A92"/>
    <w:rsid w:val="00652573"/>
    <w:rsid w:val="00653F44"/>
    <w:rsid w:val="0065605A"/>
    <w:rsid w:val="00664134"/>
    <w:rsid w:val="00667E29"/>
    <w:rsid w:val="0067192B"/>
    <w:rsid w:val="006768E0"/>
    <w:rsid w:val="00684391"/>
    <w:rsid w:val="0069138C"/>
    <w:rsid w:val="00691D63"/>
    <w:rsid w:val="006931CC"/>
    <w:rsid w:val="006A1BDE"/>
    <w:rsid w:val="006D7445"/>
    <w:rsid w:val="006E3DF8"/>
    <w:rsid w:val="006E6C94"/>
    <w:rsid w:val="006F1E78"/>
    <w:rsid w:val="006F28CB"/>
    <w:rsid w:val="006F628E"/>
    <w:rsid w:val="007019B2"/>
    <w:rsid w:val="00710B8D"/>
    <w:rsid w:val="007163E5"/>
    <w:rsid w:val="00725542"/>
    <w:rsid w:val="00725C7C"/>
    <w:rsid w:val="00747542"/>
    <w:rsid w:val="00753BBD"/>
    <w:rsid w:val="007547E0"/>
    <w:rsid w:val="00755A78"/>
    <w:rsid w:val="00755B90"/>
    <w:rsid w:val="00761270"/>
    <w:rsid w:val="0076292D"/>
    <w:rsid w:val="00784D55"/>
    <w:rsid w:val="00791638"/>
    <w:rsid w:val="00792C7A"/>
    <w:rsid w:val="0079397B"/>
    <w:rsid w:val="0079682A"/>
    <w:rsid w:val="007A19C1"/>
    <w:rsid w:val="007A7135"/>
    <w:rsid w:val="007B0B8B"/>
    <w:rsid w:val="007C4AC2"/>
    <w:rsid w:val="007C5D4F"/>
    <w:rsid w:val="007C6947"/>
    <w:rsid w:val="007D0190"/>
    <w:rsid w:val="007D3A79"/>
    <w:rsid w:val="007D3D91"/>
    <w:rsid w:val="007D5A0C"/>
    <w:rsid w:val="007D6A44"/>
    <w:rsid w:val="007E1A25"/>
    <w:rsid w:val="007F5204"/>
    <w:rsid w:val="0082596B"/>
    <w:rsid w:val="00833F21"/>
    <w:rsid w:val="008548AF"/>
    <w:rsid w:val="008570AD"/>
    <w:rsid w:val="008717CB"/>
    <w:rsid w:val="00881522"/>
    <w:rsid w:val="008A1FFC"/>
    <w:rsid w:val="008A33C5"/>
    <w:rsid w:val="008A6C47"/>
    <w:rsid w:val="008B200B"/>
    <w:rsid w:val="008B3A4F"/>
    <w:rsid w:val="008C02FD"/>
    <w:rsid w:val="008D7B77"/>
    <w:rsid w:val="008E437F"/>
    <w:rsid w:val="008F2013"/>
    <w:rsid w:val="008F640C"/>
    <w:rsid w:val="00910D20"/>
    <w:rsid w:val="00916068"/>
    <w:rsid w:val="00922FBF"/>
    <w:rsid w:val="00923688"/>
    <w:rsid w:val="00936BDF"/>
    <w:rsid w:val="00944F0B"/>
    <w:rsid w:val="00950C2F"/>
    <w:rsid w:val="00953362"/>
    <w:rsid w:val="00953641"/>
    <w:rsid w:val="0095650D"/>
    <w:rsid w:val="00965274"/>
    <w:rsid w:val="00973272"/>
    <w:rsid w:val="009872A3"/>
    <w:rsid w:val="009947D5"/>
    <w:rsid w:val="009948D5"/>
    <w:rsid w:val="00997178"/>
    <w:rsid w:val="009A33BB"/>
    <w:rsid w:val="009A370D"/>
    <w:rsid w:val="009A4807"/>
    <w:rsid w:val="009A4B39"/>
    <w:rsid w:val="009A5A59"/>
    <w:rsid w:val="009B3DDB"/>
    <w:rsid w:val="009C10D4"/>
    <w:rsid w:val="009C563A"/>
    <w:rsid w:val="009D0686"/>
    <w:rsid w:val="009D06D1"/>
    <w:rsid w:val="009D5071"/>
    <w:rsid w:val="009D6253"/>
    <w:rsid w:val="009D78F5"/>
    <w:rsid w:val="009E052D"/>
    <w:rsid w:val="009E2E40"/>
    <w:rsid w:val="00A02142"/>
    <w:rsid w:val="00A1082E"/>
    <w:rsid w:val="00A13049"/>
    <w:rsid w:val="00A13E3C"/>
    <w:rsid w:val="00A162A7"/>
    <w:rsid w:val="00A32929"/>
    <w:rsid w:val="00A33AE4"/>
    <w:rsid w:val="00A34A0E"/>
    <w:rsid w:val="00A378ED"/>
    <w:rsid w:val="00A40843"/>
    <w:rsid w:val="00A41DD9"/>
    <w:rsid w:val="00A46827"/>
    <w:rsid w:val="00A50E57"/>
    <w:rsid w:val="00A5274F"/>
    <w:rsid w:val="00A534AE"/>
    <w:rsid w:val="00A55FB4"/>
    <w:rsid w:val="00A649D9"/>
    <w:rsid w:val="00A8253C"/>
    <w:rsid w:val="00A91855"/>
    <w:rsid w:val="00AA1170"/>
    <w:rsid w:val="00AA1EA0"/>
    <w:rsid w:val="00AA26A5"/>
    <w:rsid w:val="00AA2F49"/>
    <w:rsid w:val="00AB0F92"/>
    <w:rsid w:val="00AB1333"/>
    <w:rsid w:val="00AB28BB"/>
    <w:rsid w:val="00AB495B"/>
    <w:rsid w:val="00AE3BF9"/>
    <w:rsid w:val="00B03F76"/>
    <w:rsid w:val="00B07D87"/>
    <w:rsid w:val="00B11BF9"/>
    <w:rsid w:val="00B17A6D"/>
    <w:rsid w:val="00B24267"/>
    <w:rsid w:val="00B2648A"/>
    <w:rsid w:val="00B4067A"/>
    <w:rsid w:val="00B51392"/>
    <w:rsid w:val="00B5386F"/>
    <w:rsid w:val="00B560C8"/>
    <w:rsid w:val="00B64945"/>
    <w:rsid w:val="00B759C2"/>
    <w:rsid w:val="00B759CB"/>
    <w:rsid w:val="00B90018"/>
    <w:rsid w:val="00B95B38"/>
    <w:rsid w:val="00BB30AB"/>
    <w:rsid w:val="00BB3614"/>
    <w:rsid w:val="00BC5C43"/>
    <w:rsid w:val="00BD164A"/>
    <w:rsid w:val="00BD60CB"/>
    <w:rsid w:val="00BD6B4B"/>
    <w:rsid w:val="00BE0662"/>
    <w:rsid w:val="00BE631D"/>
    <w:rsid w:val="00C0603B"/>
    <w:rsid w:val="00C209AF"/>
    <w:rsid w:val="00C21D91"/>
    <w:rsid w:val="00C255E2"/>
    <w:rsid w:val="00C31182"/>
    <w:rsid w:val="00C5776D"/>
    <w:rsid w:val="00C60B25"/>
    <w:rsid w:val="00C61CA2"/>
    <w:rsid w:val="00C63A4D"/>
    <w:rsid w:val="00C80638"/>
    <w:rsid w:val="00C93FB0"/>
    <w:rsid w:val="00C9619D"/>
    <w:rsid w:val="00CA4221"/>
    <w:rsid w:val="00CB12AE"/>
    <w:rsid w:val="00CB4C24"/>
    <w:rsid w:val="00CC1BA0"/>
    <w:rsid w:val="00CC2870"/>
    <w:rsid w:val="00CD38F9"/>
    <w:rsid w:val="00CD4B94"/>
    <w:rsid w:val="00CD693F"/>
    <w:rsid w:val="00CF24DA"/>
    <w:rsid w:val="00CF6418"/>
    <w:rsid w:val="00D04F7A"/>
    <w:rsid w:val="00D069BD"/>
    <w:rsid w:val="00D24FA5"/>
    <w:rsid w:val="00D2564A"/>
    <w:rsid w:val="00D30C3B"/>
    <w:rsid w:val="00D419D1"/>
    <w:rsid w:val="00D43DFE"/>
    <w:rsid w:val="00D5349E"/>
    <w:rsid w:val="00D567EE"/>
    <w:rsid w:val="00D61D67"/>
    <w:rsid w:val="00D62EB7"/>
    <w:rsid w:val="00D64F6B"/>
    <w:rsid w:val="00D8299D"/>
    <w:rsid w:val="00D83A39"/>
    <w:rsid w:val="00D85A5F"/>
    <w:rsid w:val="00D921E6"/>
    <w:rsid w:val="00D933FB"/>
    <w:rsid w:val="00D9420B"/>
    <w:rsid w:val="00DB3705"/>
    <w:rsid w:val="00DB6E8B"/>
    <w:rsid w:val="00DC401E"/>
    <w:rsid w:val="00DC42FA"/>
    <w:rsid w:val="00DC4FFF"/>
    <w:rsid w:val="00DE35A2"/>
    <w:rsid w:val="00E05F5F"/>
    <w:rsid w:val="00E119F6"/>
    <w:rsid w:val="00E27C75"/>
    <w:rsid w:val="00E3232E"/>
    <w:rsid w:val="00E37A7C"/>
    <w:rsid w:val="00E4135E"/>
    <w:rsid w:val="00E43624"/>
    <w:rsid w:val="00E514BE"/>
    <w:rsid w:val="00E51800"/>
    <w:rsid w:val="00E557BB"/>
    <w:rsid w:val="00E57111"/>
    <w:rsid w:val="00E6261B"/>
    <w:rsid w:val="00E663F1"/>
    <w:rsid w:val="00E66C75"/>
    <w:rsid w:val="00E9184F"/>
    <w:rsid w:val="00E91C67"/>
    <w:rsid w:val="00E924B1"/>
    <w:rsid w:val="00EA0AAE"/>
    <w:rsid w:val="00EA69FA"/>
    <w:rsid w:val="00EB7D03"/>
    <w:rsid w:val="00EB7FFE"/>
    <w:rsid w:val="00EC4722"/>
    <w:rsid w:val="00ED6AAA"/>
    <w:rsid w:val="00EF1F1E"/>
    <w:rsid w:val="00F04E91"/>
    <w:rsid w:val="00F05CCC"/>
    <w:rsid w:val="00F2149C"/>
    <w:rsid w:val="00F237E0"/>
    <w:rsid w:val="00F248F3"/>
    <w:rsid w:val="00F264A0"/>
    <w:rsid w:val="00F267C4"/>
    <w:rsid w:val="00F43CA5"/>
    <w:rsid w:val="00F454BF"/>
    <w:rsid w:val="00F61513"/>
    <w:rsid w:val="00F63966"/>
    <w:rsid w:val="00F77909"/>
    <w:rsid w:val="00F8180B"/>
    <w:rsid w:val="00F91943"/>
    <w:rsid w:val="00F974F2"/>
    <w:rsid w:val="00FA4399"/>
    <w:rsid w:val="00FA6B43"/>
    <w:rsid w:val="00FB48DF"/>
    <w:rsid w:val="00FB5204"/>
    <w:rsid w:val="00FB6129"/>
    <w:rsid w:val="00FB7274"/>
    <w:rsid w:val="00FD75F8"/>
    <w:rsid w:val="00FE1E4C"/>
    <w:rsid w:val="00FE3A35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71"/>
  </w:style>
  <w:style w:type="paragraph" w:styleId="Heading4">
    <w:name w:val="heading 4"/>
    <w:basedOn w:val="Normal"/>
    <w:link w:val="Heading4Char"/>
    <w:uiPriority w:val="9"/>
    <w:qFormat/>
    <w:rsid w:val="006931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E"/>
    <w:pPr>
      <w:ind w:left="720"/>
      <w:contextualSpacing/>
    </w:pPr>
  </w:style>
  <w:style w:type="table" w:styleId="TableGrid">
    <w:name w:val="Table Grid"/>
    <w:basedOn w:val="TableNormal"/>
    <w:uiPriority w:val="59"/>
    <w:rsid w:val="00E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04"/>
  </w:style>
  <w:style w:type="paragraph" w:styleId="Footer">
    <w:name w:val="footer"/>
    <w:basedOn w:val="Normal"/>
    <w:link w:val="Foot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04"/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1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1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A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82A"/>
  </w:style>
  <w:style w:type="paragraph" w:customStyle="1" w:styleId="Default">
    <w:name w:val="Default"/>
    <w:rsid w:val="003529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B57-CC8C-48B8-ADC0-A8CA03B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Kristina</cp:lastModifiedBy>
  <cp:revision>27</cp:revision>
  <cp:lastPrinted>2020-09-18T10:17:00Z</cp:lastPrinted>
  <dcterms:created xsi:type="dcterms:W3CDTF">2020-09-11T06:50:00Z</dcterms:created>
  <dcterms:modified xsi:type="dcterms:W3CDTF">2020-09-18T12:17:00Z</dcterms:modified>
</cp:coreProperties>
</file>