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16B" w:rsidRPr="0048321A" w:rsidRDefault="00916068" w:rsidP="00953362">
      <w:pPr>
        <w:tabs>
          <w:tab w:val="left" w:pos="574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8321A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916068" w:rsidRPr="0048321A" w:rsidRDefault="00916068" w:rsidP="00953362">
      <w:pPr>
        <w:tabs>
          <w:tab w:val="left" w:pos="574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832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ОПШТИНА МИОНИЦА </w:t>
      </w:r>
    </w:p>
    <w:p w:rsidR="00916068" w:rsidRPr="0048321A" w:rsidRDefault="00916068" w:rsidP="00953362">
      <w:pPr>
        <w:tabs>
          <w:tab w:val="left" w:pos="574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8321A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 УПРАВА</w:t>
      </w:r>
    </w:p>
    <w:p w:rsidR="00916068" w:rsidRPr="0048321A" w:rsidRDefault="002D08BC" w:rsidP="00953362">
      <w:pPr>
        <w:tabs>
          <w:tab w:val="left" w:pos="574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Одсек буџета и трезора</w:t>
      </w:r>
    </w:p>
    <w:p w:rsidR="00916068" w:rsidRPr="00B759C2" w:rsidRDefault="00B759C2" w:rsidP="00953362">
      <w:pPr>
        <w:tabs>
          <w:tab w:val="left" w:pos="57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Број:400-</w:t>
      </w:r>
      <w:r w:rsidR="00566B07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/201</w:t>
      </w:r>
      <w:r w:rsidR="00566B07">
        <w:rPr>
          <w:rFonts w:ascii="Times New Roman" w:hAnsi="Times New Roman" w:cs="Times New Roman"/>
          <w:b/>
          <w:sz w:val="24"/>
          <w:szCs w:val="24"/>
        </w:rPr>
        <w:t>9</w:t>
      </w:r>
    </w:p>
    <w:p w:rsidR="00916068" w:rsidRPr="0048321A" w:rsidRDefault="00B759C2" w:rsidP="00953362">
      <w:pPr>
        <w:tabs>
          <w:tab w:val="left" w:pos="574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 w:rsidR="00566B07">
        <w:rPr>
          <w:rFonts w:ascii="Times New Roman" w:hAnsi="Times New Roman" w:cs="Times New Roman"/>
          <w:b/>
          <w:sz w:val="24"/>
          <w:szCs w:val="24"/>
        </w:rPr>
        <w:t>30</w:t>
      </w:r>
      <w:r w:rsidR="00D64F6B">
        <w:rPr>
          <w:rFonts w:ascii="Times New Roman" w:hAnsi="Times New Roman" w:cs="Times New Roman"/>
          <w:b/>
          <w:sz w:val="24"/>
          <w:szCs w:val="24"/>
        </w:rPr>
        <w:t>.07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.201</w:t>
      </w:r>
      <w:r w:rsidR="00566B07">
        <w:rPr>
          <w:rFonts w:ascii="Times New Roman" w:hAnsi="Times New Roman" w:cs="Times New Roman"/>
          <w:b/>
          <w:sz w:val="24"/>
          <w:szCs w:val="24"/>
        </w:rPr>
        <w:t>9</w:t>
      </w:r>
      <w:r w:rsidR="00916068" w:rsidRPr="004832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.година </w:t>
      </w:r>
    </w:p>
    <w:p w:rsidR="00916068" w:rsidRPr="00D16189" w:rsidRDefault="00916068" w:rsidP="00953362">
      <w:p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016B" w:rsidRDefault="0041016B" w:rsidP="00953362">
      <w:p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016B" w:rsidRDefault="0041016B" w:rsidP="00953362">
      <w:p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016B" w:rsidRDefault="0041016B" w:rsidP="00953362">
      <w:p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7D87" w:rsidRPr="008C02FD" w:rsidRDefault="00B07D87" w:rsidP="00953362">
      <w:p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B07D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40.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буџетском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>. 54/09, 73/10, 101/10, 101/11, 62/13, 63/13, 108/13, 142/2014</w:t>
      </w:r>
      <w:r w:rsidR="00F04E91">
        <w:rPr>
          <w:rFonts w:ascii="Times New Roman" w:hAnsi="Times New Roman" w:cs="Times New Roman"/>
          <w:sz w:val="24"/>
          <w:szCs w:val="24"/>
        </w:rPr>
        <w:t>,</w:t>
      </w:r>
      <w:r w:rsidR="00B759C2">
        <w:rPr>
          <w:rFonts w:ascii="Times New Roman" w:hAnsi="Times New Roman" w:cs="Times New Roman"/>
          <w:sz w:val="24"/>
          <w:szCs w:val="24"/>
        </w:rPr>
        <w:t>103/15,</w:t>
      </w:r>
      <w:r w:rsidR="00F04E91">
        <w:rPr>
          <w:rFonts w:ascii="Times New Roman" w:hAnsi="Times New Roman" w:cs="Times New Roman"/>
          <w:sz w:val="24"/>
          <w:szCs w:val="24"/>
        </w:rPr>
        <w:t xml:space="preserve"> 99/2016</w:t>
      </w:r>
      <w:r w:rsidR="002D08B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759C2">
        <w:rPr>
          <w:rFonts w:ascii="Times New Roman" w:hAnsi="Times New Roman" w:cs="Times New Roman"/>
          <w:sz w:val="24"/>
          <w:szCs w:val="24"/>
        </w:rPr>
        <w:t>113/17</w:t>
      </w:r>
      <w:r w:rsidR="002D08BC">
        <w:rPr>
          <w:rFonts w:ascii="Times New Roman" w:hAnsi="Times New Roman" w:cs="Times New Roman"/>
          <w:sz w:val="24"/>
          <w:szCs w:val="24"/>
          <w:lang w:val="sr-Cyrl-RS"/>
        </w:rPr>
        <w:t>, 95/18, 31/19</w:t>
      </w:r>
      <w:r w:rsidRPr="00B07D8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916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068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916068">
        <w:rPr>
          <w:rFonts w:ascii="Times New Roman" w:hAnsi="Times New Roman" w:cs="Times New Roman"/>
          <w:sz w:val="24"/>
          <w:szCs w:val="24"/>
        </w:rPr>
        <w:t xml:space="preserve"> </w:t>
      </w:r>
      <w:r w:rsidR="008C02FD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</w:t>
      </w:r>
      <w:r w:rsidR="00916068">
        <w:rPr>
          <w:rFonts w:ascii="Times New Roman" w:hAnsi="Times New Roman" w:cs="Times New Roman"/>
          <w:sz w:val="24"/>
          <w:szCs w:val="24"/>
          <w:lang w:val="sr-Cyrl-CS"/>
        </w:rPr>
        <w:t>Мионица-Од</w:t>
      </w:r>
      <w:r w:rsidR="002D08BC">
        <w:rPr>
          <w:rFonts w:ascii="Times New Roman" w:hAnsi="Times New Roman" w:cs="Times New Roman"/>
          <w:sz w:val="24"/>
          <w:szCs w:val="24"/>
          <w:lang w:val="sr-Cyrl-CS"/>
        </w:rPr>
        <w:t>сек буџета и трезора</w:t>
      </w:r>
    </w:p>
    <w:p w:rsidR="00B07D87" w:rsidRPr="00B07D87" w:rsidRDefault="00B07D87" w:rsidP="009533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7D87" w:rsidRPr="00B07D87" w:rsidRDefault="00B07D87" w:rsidP="00B07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5204" w:rsidRDefault="00FB5204" w:rsidP="00B07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FB5204" w:rsidRDefault="00FB5204" w:rsidP="00B07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FB5204" w:rsidRDefault="00FB5204" w:rsidP="00B07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FB5204" w:rsidRDefault="00FB5204" w:rsidP="008259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B07D87" w:rsidRPr="00916068" w:rsidRDefault="00B07D87" w:rsidP="008259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 w:rsidRPr="00916068">
        <w:rPr>
          <w:rFonts w:ascii="Times New Roman" w:hAnsi="Times New Roman" w:cs="Times New Roman"/>
          <w:b/>
          <w:bCs/>
          <w:color w:val="000000"/>
          <w:sz w:val="52"/>
          <w:szCs w:val="52"/>
        </w:rPr>
        <w:t>УПУТСТВО</w:t>
      </w:r>
    </w:p>
    <w:p w:rsidR="002972FF" w:rsidRDefault="00B07D87" w:rsidP="008259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val="sr-Cyrl-CS"/>
        </w:rPr>
      </w:pPr>
      <w:r w:rsidRPr="00916068">
        <w:rPr>
          <w:rFonts w:ascii="Times New Roman" w:hAnsi="Times New Roman" w:cs="Times New Roman"/>
          <w:b/>
          <w:bCs/>
          <w:color w:val="000000"/>
          <w:sz w:val="40"/>
          <w:szCs w:val="40"/>
        </w:rPr>
        <w:t>ЗА</w:t>
      </w:r>
      <w:r w:rsidR="00916068" w:rsidRPr="00916068">
        <w:rPr>
          <w:rFonts w:ascii="Times New Roman" w:hAnsi="Times New Roman" w:cs="Times New Roman"/>
          <w:b/>
          <w:bCs/>
          <w:color w:val="000000"/>
          <w:sz w:val="40"/>
          <w:szCs w:val="40"/>
          <w:lang w:val="sr-Cyrl-CS"/>
        </w:rPr>
        <w:t xml:space="preserve"> </w:t>
      </w:r>
      <w:r w:rsidRPr="00916068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ПРИПРЕМУ</w:t>
      </w:r>
      <w:r w:rsidR="00916068" w:rsidRPr="00916068">
        <w:rPr>
          <w:rFonts w:ascii="Times New Roman" w:hAnsi="Times New Roman" w:cs="Times New Roman"/>
          <w:b/>
          <w:bCs/>
          <w:color w:val="000000"/>
          <w:sz w:val="40"/>
          <w:szCs w:val="40"/>
          <w:lang w:val="sr-Cyrl-CS"/>
        </w:rPr>
        <w:t xml:space="preserve"> </w:t>
      </w:r>
      <w:r w:rsidR="008C02FD">
        <w:rPr>
          <w:rFonts w:ascii="Times New Roman" w:hAnsi="Times New Roman" w:cs="Times New Roman"/>
          <w:b/>
          <w:bCs/>
          <w:color w:val="000000"/>
          <w:sz w:val="40"/>
          <w:szCs w:val="40"/>
          <w:lang w:val="sr-Cyrl-CS"/>
        </w:rPr>
        <w:t xml:space="preserve"> ОДЛУКЕ</w:t>
      </w:r>
      <w:r w:rsidRPr="00916068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8C02FD">
        <w:rPr>
          <w:rFonts w:ascii="Times New Roman" w:hAnsi="Times New Roman" w:cs="Times New Roman"/>
          <w:b/>
          <w:bCs/>
          <w:color w:val="000000"/>
          <w:sz w:val="40"/>
          <w:szCs w:val="40"/>
          <w:lang w:val="sr-Cyrl-CS"/>
        </w:rPr>
        <w:t xml:space="preserve"> О </w:t>
      </w:r>
      <w:r w:rsidRPr="00916068">
        <w:rPr>
          <w:rFonts w:ascii="Times New Roman" w:hAnsi="Times New Roman" w:cs="Times New Roman"/>
          <w:b/>
          <w:bCs/>
          <w:color w:val="000000"/>
          <w:sz w:val="40"/>
          <w:szCs w:val="40"/>
        </w:rPr>
        <w:t>БУЏЕТ</w:t>
      </w:r>
      <w:r w:rsidR="00D16189">
        <w:rPr>
          <w:rFonts w:ascii="Times New Roman" w:hAnsi="Times New Roman" w:cs="Times New Roman"/>
          <w:b/>
          <w:bCs/>
          <w:color w:val="000000"/>
          <w:sz w:val="40"/>
          <w:szCs w:val="40"/>
          <w:lang w:val="sr-Cyrl-RS"/>
        </w:rPr>
        <w:t>У</w:t>
      </w:r>
      <w:bookmarkStart w:id="0" w:name="_GoBack"/>
      <w:bookmarkEnd w:id="0"/>
      <w:r w:rsidRPr="00916068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ОПШТИНЕ</w:t>
      </w:r>
      <w:r w:rsidR="00A378ED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916068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916068" w:rsidRPr="00916068">
        <w:rPr>
          <w:rFonts w:ascii="Times New Roman" w:hAnsi="Times New Roman" w:cs="Times New Roman"/>
          <w:b/>
          <w:bCs/>
          <w:color w:val="000000"/>
          <w:sz w:val="40"/>
          <w:szCs w:val="40"/>
          <w:lang w:val="sr-Cyrl-CS"/>
        </w:rPr>
        <w:t>МИОНИЦА</w:t>
      </w:r>
      <w:r w:rsidRPr="00916068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ЗА 20</w:t>
      </w:r>
      <w:r w:rsidR="002D08BC">
        <w:rPr>
          <w:rFonts w:ascii="Times New Roman" w:hAnsi="Times New Roman" w:cs="Times New Roman"/>
          <w:b/>
          <w:bCs/>
          <w:color w:val="000000"/>
          <w:sz w:val="40"/>
          <w:szCs w:val="40"/>
          <w:lang w:val="sr-Cyrl-RS"/>
        </w:rPr>
        <w:t>20</w:t>
      </w:r>
      <w:r w:rsidRPr="00916068">
        <w:rPr>
          <w:rFonts w:ascii="Times New Roman" w:hAnsi="Times New Roman" w:cs="Times New Roman"/>
          <w:b/>
          <w:bCs/>
          <w:color w:val="000000"/>
          <w:sz w:val="40"/>
          <w:szCs w:val="40"/>
        </w:rPr>
        <w:t>. ГОДИНУ</w:t>
      </w:r>
      <w:r w:rsidR="00B759C2">
        <w:rPr>
          <w:rFonts w:ascii="Times New Roman" w:hAnsi="Times New Roman" w:cs="Times New Roman"/>
          <w:b/>
          <w:bCs/>
          <w:color w:val="000000"/>
          <w:sz w:val="40"/>
          <w:szCs w:val="40"/>
          <w:lang w:val="sr-Cyrl-CS"/>
        </w:rPr>
        <w:t xml:space="preserve"> </w:t>
      </w:r>
    </w:p>
    <w:p w:rsidR="00B759C2" w:rsidRPr="00916068" w:rsidRDefault="00555ABF" w:rsidP="008259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val="sr-Cyrl-CS"/>
        </w:rPr>
        <w:t>СА ПРОЈЕКЦИЈАМА ЗА 2021. И 2022. ГОДИНУ</w:t>
      </w:r>
    </w:p>
    <w:p w:rsidR="002972FF" w:rsidRDefault="002972FF" w:rsidP="008259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972FF" w:rsidRDefault="002972FF" w:rsidP="00B07D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972FF" w:rsidRDefault="002972FF" w:rsidP="00B07D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972FF" w:rsidRDefault="002972FF" w:rsidP="00B07D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972FF" w:rsidRDefault="002972FF" w:rsidP="00B07D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972FF" w:rsidRDefault="002972FF" w:rsidP="00B07D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972FF" w:rsidRDefault="002972FF" w:rsidP="00B07D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972FF" w:rsidRPr="00B759C2" w:rsidRDefault="002972FF" w:rsidP="00B07D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72FF" w:rsidRDefault="002972FF" w:rsidP="00B07D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B07D87" w:rsidRPr="00B07D87" w:rsidRDefault="00B07D87" w:rsidP="00B07D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916068" w:rsidRDefault="00916068" w:rsidP="00055070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16068" w:rsidRDefault="00916068" w:rsidP="00055070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16068" w:rsidRDefault="00916068" w:rsidP="00055070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16068" w:rsidRDefault="00916068" w:rsidP="00055070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65274" w:rsidRDefault="00965274" w:rsidP="00E663F1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D87" w:rsidRDefault="00B07D87" w:rsidP="00E663F1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3F1">
        <w:rPr>
          <w:rFonts w:ascii="Times New Roman" w:hAnsi="Times New Roman" w:cs="Times New Roman"/>
          <w:b/>
          <w:sz w:val="24"/>
          <w:szCs w:val="24"/>
        </w:rPr>
        <w:lastRenderedPageBreak/>
        <w:t>УВОД</w:t>
      </w:r>
    </w:p>
    <w:p w:rsidR="00F05CCC" w:rsidRPr="00F05CCC" w:rsidRDefault="00F05CCC" w:rsidP="00E663F1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274" w:rsidRDefault="00CF24DA" w:rsidP="00F05CCC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</w:p>
    <w:p w:rsidR="00965274" w:rsidRDefault="00965274" w:rsidP="00F05CCC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</w:p>
    <w:p w:rsidR="00E663F1" w:rsidRPr="001A45B1" w:rsidRDefault="003F60D2" w:rsidP="00F05CCC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F05CCC" w:rsidRPr="00F05CCC">
        <w:rPr>
          <w:rFonts w:ascii="Times New Roman" w:hAnsi="Times New Roman" w:cs="Times New Roman"/>
          <w:sz w:val="24"/>
          <w:szCs w:val="24"/>
          <w:lang w:val="sr-Cyrl-CS"/>
        </w:rPr>
        <w:t>Упутство</w:t>
      </w:r>
      <w:r w:rsidR="001A4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CCC">
        <w:rPr>
          <w:rFonts w:ascii="Times New Roman" w:hAnsi="Times New Roman" w:cs="Times New Roman"/>
          <w:sz w:val="24"/>
          <w:szCs w:val="24"/>
          <w:lang w:val="sr-Cyrl-CS"/>
        </w:rPr>
        <w:t xml:space="preserve">садржи основне економске претпоставке,смернице ,оквире и рокове  на </w:t>
      </w:r>
      <w:r w:rsidR="00CF2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5CCC">
        <w:rPr>
          <w:rFonts w:ascii="Times New Roman" w:hAnsi="Times New Roman" w:cs="Times New Roman"/>
          <w:sz w:val="24"/>
          <w:szCs w:val="24"/>
          <w:lang w:val="sr-Cyrl-CS"/>
        </w:rPr>
        <w:t>основу којих су буџетски корисници у обавези да израде Предлог финансијс</w:t>
      </w:r>
      <w:r w:rsidR="001A45B1">
        <w:rPr>
          <w:rFonts w:ascii="Times New Roman" w:hAnsi="Times New Roman" w:cs="Times New Roman"/>
          <w:sz w:val="24"/>
          <w:szCs w:val="24"/>
          <w:lang w:val="sr-Cyrl-CS"/>
        </w:rPr>
        <w:t>ког плана за 20</w:t>
      </w:r>
      <w:r w:rsidR="002D08BC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1A45B1">
        <w:rPr>
          <w:rFonts w:ascii="Times New Roman" w:hAnsi="Times New Roman" w:cs="Times New Roman"/>
          <w:sz w:val="24"/>
          <w:szCs w:val="24"/>
          <w:lang w:val="sr-Cyrl-CS"/>
        </w:rPr>
        <w:t>.годину</w:t>
      </w:r>
      <w:r w:rsidR="001A45B1">
        <w:rPr>
          <w:rFonts w:ascii="Times New Roman" w:hAnsi="Times New Roman" w:cs="Times New Roman"/>
          <w:sz w:val="24"/>
          <w:szCs w:val="24"/>
        </w:rPr>
        <w:t>.</w:t>
      </w:r>
    </w:p>
    <w:p w:rsidR="00F05CCC" w:rsidRDefault="00CF24DA" w:rsidP="00F05CCC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F05CCC">
        <w:rPr>
          <w:rFonts w:ascii="Times New Roman" w:hAnsi="Times New Roman" w:cs="Times New Roman"/>
          <w:sz w:val="24"/>
          <w:szCs w:val="24"/>
          <w:lang w:val="sr-Cyrl-CS"/>
        </w:rPr>
        <w:t xml:space="preserve">Поступак припреме </w:t>
      </w:r>
      <w:r w:rsidR="00BB3614">
        <w:rPr>
          <w:rFonts w:ascii="Times New Roman" w:hAnsi="Times New Roman" w:cs="Times New Roman"/>
          <w:sz w:val="24"/>
          <w:szCs w:val="24"/>
          <w:lang w:val="sr-Cyrl-CS"/>
        </w:rPr>
        <w:t>и доношења буџета локалне власт</w:t>
      </w:r>
      <w:r w:rsidR="00F05CCC">
        <w:rPr>
          <w:rFonts w:ascii="Times New Roman" w:hAnsi="Times New Roman" w:cs="Times New Roman"/>
          <w:sz w:val="24"/>
          <w:szCs w:val="24"/>
          <w:lang w:val="sr-Cyrl-CS"/>
        </w:rPr>
        <w:t xml:space="preserve">и уређен је Законом о буџетском систему </w:t>
      </w:r>
      <w:r w:rsidR="00F05CCC" w:rsidRPr="00B07D87">
        <w:rPr>
          <w:rFonts w:ascii="Times New Roman" w:hAnsi="Times New Roman" w:cs="Times New Roman"/>
          <w:sz w:val="24"/>
          <w:szCs w:val="24"/>
        </w:rPr>
        <w:t>(''</w:t>
      </w:r>
      <w:proofErr w:type="spellStart"/>
      <w:r w:rsidR="00F05CCC" w:rsidRPr="00B07D87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="00F05CCC" w:rsidRPr="00B07D87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="00F05CCC" w:rsidRPr="00B07D8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F05CCC" w:rsidRPr="00B07D87">
        <w:rPr>
          <w:rFonts w:ascii="Times New Roman" w:hAnsi="Times New Roman" w:cs="Times New Roman"/>
          <w:sz w:val="24"/>
          <w:szCs w:val="24"/>
        </w:rPr>
        <w:t>. 54/09, 73/10, 101/10, 101/11, 62/13, 63/13, 108/13, 142/2014</w:t>
      </w:r>
      <w:r w:rsidR="00F05CCC">
        <w:rPr>
          <w:rFonts w:ascii="Times New Roman" w:hAnsi="Times New Roman" w:cs="Times New Roman"/>
          <w:sz w:val="24"/>
          <w:szCs w:val="24"/>
        </w:rPr>
        <w:t xml:space="preserve">,103/15, 99/2016 </w:t>
      </w:r>
      <w:r w:rsidR="002D08B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05CCC">
        <w:rPr>
          <w:rFonts w:ascii="Times New Roman" w:hAnsi="Times New Roman" w:cs="Times New Roman"/>
          <w:sz w:val="24"/>
          <w:szCs w:val="24"/>
        </w:rPr>
        <w:t>113/17</w:t>
      </w:r>
      <w:r w:rsidR="002D08BC">
        <w:rPr>
          <w:rFonts w:ascii="Times New Roman" w:hAnsi="Times New Roman" w:cs="Times New Roman"/>
          <w:sz w:val="24"/>
          <w:szCs w:val="24"/>
          <w:lang w:val="sr-Cyrl-RS"/>
        </w:rPr>
        <w:t xml:space="preserve">, 95/18, 31/19 </w:t>
      </w:r>
      <w:r w:rsidR="00F05CCC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="00F05C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05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CC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F05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CC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F05CCC">
        <w:rPr>
          <w:rFonts w:ascii="Times New Roman" w:hAnsi="Times New Roman" w:cs="Times New Roman"/>
          <w:sz w:val="24"/>
          <w:szCs w:val="24"/>
        </w:rPr>
        <w:t xml:space="preserve"> 31.</w:t>
      </w:r>
      <w:r w:rsidR="007C6947" w:rsidRPr="007C69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6947">
        <w:rPr>
          <w:rFonts w:ascii="Times New Roman" w:hAnsi="Times New Roman" w:cs="Times New Roman"/>
          <w:sz w:val="24"/>
          <w:szCs w:val="24"/>
          <w:lang w:val="sr-Cyrl-CS"/>
        </w:rPr>
        <w:t xml:space="preserve"> Закон</w:t>
      </w:r>
      <w:r w:rsidR="007C6947">
        <w:rPr>
          <w:rFonts w:ascii="Times New Roman" w:hAnsi="Times New Roman" w:cs="Times New Roman"/>
          <w:sz w:val="24"/>
          <w:szCs w:val="24"/>
        </w:rPr>
        <w:t>a</w:t>
      </w:r>
      <w:r w:rsidR="007C6947">
        <w:rPr>
          <w:rFonts w:ascii="Times New Roman" w:hAnsi="Times New Roman" w:cs="Times New Roman"/>
          <w:sz w:val="24"/>
          <w:szCs w:val="24"/>
          <w:lang w:val="sr-Cyrl-CS"/>
        </w:rPr>
        <w:t xml:space="preserve"> о буџетском систему</w:t>
      </w:r>
      <w:r w:rsidR="00F05CCC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F05CC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F05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календару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Упутство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Фискалну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стратегију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5.јула.</w:t>
      </w:r>
    </w:p>
    <w:p w:rsidR="00E663F1" w:rsidRPr="00BB3614" w:rsidRDefault="00E663F1" w:rsidP="00B17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B17A6D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41.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900B1">
        <w:rPr>
          <w:rFonts w:ascii="Times New Roman" w:hAnsi="Times New Roman" w:cs="Times New Roman"/>
          <w:sz w:val="24"/>
          <w:szCs w:val="24"/>
          <w:lang w:val="sr-Cyrl-CS"/>
        </w:rPr>
        <w:t xml:space="preserve"> о буџетском систему</w:t>
      </w:r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дефинисано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индиректни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обавезни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смерница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3F1" w:rsidRPr="002900B1" w:rsidRDefault="00E663F1" w:rsidP="00B17A6D">
      <w:p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Директни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обавезни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смерницама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роковима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траже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индиректних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одговорни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неопходне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директног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буџетског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. </w:t>
      </w:r>
      <w:r w:rsidRPr="002900B1">
        <w:rPr>
          <w:rFonts w:ascii="Times New Roman" w:hAnsi="Times New Roman" w:cs="Times New Roman"/>
          <w:sz w:val="24"/>
          <w:szCs w:val="24"/>
          <w:lang w:val="sr-Cyrl-CS"/>
        </w:rPr>
        <w:t xml:space="preserve">Такође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="00B17A6D" w:rsidRPr="002900B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локални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надлежан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тражи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индиректних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неопходни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B1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Pr="002900B1">
        <w:rPr>
          <w:rFonts w:ascii="Times New Roman" w:hAnsi="Times New Roman" w:cs="Times New Roman"/>
          <w:sz w:val="24"/>
          <w:szCs w:val="24"/>
        </w:rPr>
        <w:t>.</w:t>
      </w:r>
    </w:p>
    <w:p w:rsidR="002972FF" w:rsidRDefault="002972FF" w:rsidP="002972FF">
      <w:p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00B1" w:rsidRDefault="002900B1" w:rsidP="002972FF">
      <w:p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68E8" w:rsidRPr="00555ABF" w:rsidRDefault="000268E8" w:rsidP="00175FC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55AB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Основне економске претпоставке и смернице за припрему буџета за </w:t>
      </w:r>
      <w:r w:rsidR="00D43DFE" w:rsidRPr="00555ABF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555ABF" w:rsidRPr="00555ABF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Pr="00555ABF">
        <w:rPr>
          <w:rFonts w:ascii="Times New Roman" w:hAnsi="Times New Roman" w:cs="Times New Roman"/>
          <w:b/>
          <w:sz w:val="24"/>
          <w:szCs w:val="24"/>
          <w:lang w:val="sr-Cyrl-CS"/>
        </w:rPr>
        <w:t>.годину</w:t>
      </w:r>
    </w:p>
    <w:p w:rsidR="00755B90" w:rsidRPr="00555ABF" w:rsidRDefault="00755B90" w:rsidP="00755B90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555ABF" w:rsidRPr="00555ABF" w:rsidRDefault="00555ABF" w:rsidP="00AA0E63">
      <w:pPr>
        <w:pStyle w:val="Default"/>
        <w:ind w:firstLine="360"/>
        <w:rPr>
          <w:rFonts w:ascii="Calibri" w:hAnsi="Calibri" w:cs="Calibri"/>
        </w:rPr>
      </w:pPr>
      <w:proofErr w:type="spellStart"/>
      <w:r w:rsidRPr="00555ABF">
        <w:rPr>
          <w:b/>
          <w:bCs/>
        </w:rPr>
        <w:t>Оријентација</w:t>
      </w:r>
      <w:proofErr w:type="spellEnd"/>
      <w:r w:rsidRPr="00555ABF">
        <w:rPr>
          <w:b/>
          <w:bCs/>
        </w:rPr>
        <w:t xml:space="preserve"> </w:t>
      </w:r>
      <w:proofErr w:type="spellStart"/>
      <w:r w:rsidRPr="00555ABF">
        <w:rPr>
          <w:b/>
          <w:bCs/>
        </w:rPr>
        <w:t>фискалне</w:t>
      </w:r>
      <w:proofErr w:type="spellEnd"/>
      <w:r w:rsidRPr="00555ABF">
        <w:rPr>
          <w:b/>
          <w:bCs/>
        </w:rPr>
        <w:t xml:space="preserve"> </w:t>
      </w:r>
      <w:proofErr w:type="spellStart"/>
      <w:r w:rsidRPr="00555ABF">
        <w:rPr>
          <w:b/>
          <w:bCs/>
        </w:rPr>
        <w:t>политике</w:t>
      </w:r>
      <w:proofErr w:type="spellEnd"/>
      <w:r w:rsidRPr="00555ABF">
        <w:rPr>
          <w:b/>
          <w:bCs/>
        </w:rPr>
        <w:t xml:space="preserve"> у </w:t>
      </w:r>
      <w:proofErr w:type="spellStart"/>
      <w:r w:rsidRPr="00555ABF">
        <w:rPr>
          <w:b/>
          <w:bCs/>
        </w:rPr>
        <w:t>средњем</w:t>
      </w:r>
      <w:proofErr w:type="spellEnd"/>
      <w:r w:rsidRPr="00555ABF">
        <w:rPr>
          <w:b/>
          <w:bCs/>
        </w:rPr>
        <w:t xml:space="preserve"> </w:t>
      </w:r>
      <w:proofErr w:type="spellStart"/>
      <w:r w:rsidRPr="00555ABF">
        <w:rPr>
          <w:b/>
          <w:bCs/>
        </w:rPr>
        <w:t>року</w:t>
      </w:r>
      <w:proofErr w:type="spellEnd"/>
      <w:r w:rsidRPr="00555ABF">
        <w:rPr>
          <w:b/>
          <w:bCs/>
        </w:rPr>
        <w:t xml:space="preserve"> </w:t>
      </w:r>
      <w:proofErr w:type="spellStart"/>
      <w:r w:rsidRPr="00555ABF">
        <w:rPr>
          <w:b/>
          <w:bCs/>
        </w:rPr>
        <w:t>јесте</w:t>
      </w:r>
      <w:proofErr w:type="spellEnd"/>
      <w:r w:rsidRPr="00555ABF">
        <w:rPr>
          <w:b/>
          <w:bCs/>
        </w:rPr>
        <w:t xml:space="preserve"> </w:t>
      </w:r>
      <w:proofErr w:type="spellStart"/>
      <w:r w:rsidRPr="00555ABF">
        <w:rPr>
          <w:b/>
          <w:bCs/>
        </w:rPr>
        <w:t>одржање</w:t>
      </w:r>
      <w:proofErr w:type="spellEnd"/>
      <w:r w:rsidRPr="00555ABF">
        <w:rPr>
          <w:b/>
          <w:bCs/>
        </w:rPr>
        <w:t xml:space="preserve"> </w:t>
      </w:r>
      <w:proofErr w:type="spellStart"/>
      <w:r w:rsidRPr="00555ABF">
        <w:rPr>
          <w:b/>
          <w:bCs/>
        </w:rPr>
        <w:t>ниског</w:t>
      </w:r>
      <w:proofErr w:type="spellEnd"/>
      <w:r w:rsidRPr="00555ABF">
        <w:rPr>
          <w:b/>
          <w:bCs/>
        </w:rPr>
        <w:t xml:space="preserve"> </w:t>
      </w:r>
      <w:proofErr w:type="spellStart"/>
      <w:r w:rsidRPr="00555ABF">
        <w:rPr>
          <w:b/>
          <w:bCs/>
        </w:rPr>
        <w:t>дефицита</w:t>
      </w:r>
      <w:proofErr w:type="spellEnd"/>
      <w:r w:rsidRPr="00555ABF">
        <w:rPr>
          <w:b/>
          <w:bCs/>
        </w:rPr>
        <w:t xml:space="preserve">, </w:t>
      </w:r>
      <w:proofErr w:type="spellStart"/>
      <w:r w:rsidRPr="00555ABF">
        <w:rPr>
          <w:b/>
          <w:bCs/>
        </w:rPr>
        <w:t>даље</w:t>
      </w:r>
      <w:proofErr w:type="spellEnd"/>
      <w:r w:rsidRPr="00555ABF">
        <w:rPr>
          <w:b/>
          <w:bCs/>
        </w:rPr>
        <w:t xml:space="preserve"> </w:t>
      </w:r>
      <w:proofErr w:type="spellStart"/>
      <w:r w:rsidRPr="00555ABF">
        <w:rPr>
          <w:b/>
          <w:bCs/>
        </w:rPr>
        <w:t>смањење</w:t>
      </w:r>
      <w:proofErr w:type="spellEnd"/>
      <w:r w:rsidRPr="00555ABF">
        <w:rPr>
          <w:b/>
          <w:bCs/>
        </w:rPr>
        <w:t xml:space="preserve"> </w:t>
      </w:r>
      <w:proofErr w:type="spellStart"/>
      <w:r w:rsidRPr="00555ABF">
        <w:rPr>
          <w:b/>
          <w:bCs/>
        </w:rPr>
        <w:t>јавног</w:t>
      </w:r>
      <w:proofErr w:type="spellEnd"/>
      <w:r w:rsidRPr="00555ABF">
        <w:rPr>
          <w:b/>
          <w:bCs/>
        </w:rPr>
        <w:t xml:space="preserve"> </w:t>
      </w:r>
      <w:proofErr w:type="spellStart"/>
      <w:r w:rsidRPr="00555ABF">
        <w:rPr>
          <w:b/>
          <w:bCs/>
        </w:rPr>
        <w:t>дуга</w:t>
      </w:r>
      <w:proofErr w:type="spellEnd"/>
      <w:r w:rsidRPr="00555ABF">
        <w:rPr>
          <w:b/>
          <w:bCs/>
        </w:rPr>
        <w:t xml:space="preserve">, </w:t>
      </w:r>
      <w:proofErr w:type="spellStart"/>
      <w:r w:rsidRPr="00555ABF">
        <w:rPr>
          <w:b/>
          <w:bCs/>
        </w:rPr>
        <w:t>али</w:t>
      </w:r>
      <w:proofErr w:type="spellEnd"/>
      <w:r w:rsidRPr="00555ABF">
        <w:rPr>
          <w:b/>
          <w:bCs/>
        </w:rPr>
        <w:t xml:space="preserve"> и </w:t>
      </w:r>
      <w:proofErr w:type="spellStart"/>
      <w:r w:rsidRPr="00555ABF">
        <w:rPr>
          <w:b/>
          <w:bCs/>
        </w:rPr>
        <w:t>коришћење</w:t>
      </w:r>
      <w:proofErr w:type="spellEnd"/>
      <w:r w:rsidRPr="00555ABF">
        <w:rPr>
          <w:b/>
          <w:bCs/>
        </w:rPr>
        <w:t xml:space="preserve"> </w:t>
      </w:r>
      <w:proofErr w:type="spellStart"/>
      <w:r w:rsidRPr="00555ABF">
        <w:rPr>
          <w:b/>
          <w:bCs/>
        </w:rPr>
        <w:t>фискалног</w:t>
      </w:r>
      <w:proofErr w:type="spellEnd"/>
      <w:r w:rsidRPr="00555ABF">
        <w:rPr>
          <w:b/>
          <w:bCs/>
        </w:rPr>
        <w:t xml:space="preserve"> </w:t>
      </w:r>
      <w:proofErr w:type="spellStart"/>
      <w:r w:rsidRPr="00555ABF">
        <w:rPr>
          <w:b/>
          <w:bCs/>
        </w:rPr>
        <w:t>простора</w:t>
      </w:r>
      <w:proofErr w:type="spellEnd"/>
      <w:r w:rsidRPr="00555ABF">
        <w:rPr>
          <w:b/>
          <w:bCs/>
        </w:rPr>
        <w:t xml:space="preserve"> у </w:t>
      </w:r>
      <w:proofErr w:type="spellStart"/>
      <w:r w:rsidRPr="00555ABF">
        <w:rPr>
          <w:b/>
          <w:bCs/>
        </w:rPr>
        <w:t>циљу</w:t>
      </w:r>
      <w:proofErr w:type="spellEnd"/>
      <w:r w:rsidRPr="00555ABF">
        <w:rPr>
          <w:b/>
          <w:bCs/>
        </w:rPr>
        <w:t xml:space="preserve"> </w:t>
      </w:r>
      <w:proofErr w:type="spellStart"/>
      <w:r w:rsidRPr="00555ABF">
        <w:rPr>
          <w:b/>
          <w:bCs/>
        </w:rPr>
        <w:t>подршке</w:t>
      </w:r>
      <w:proofErr w:type="spellEnd"/>
      <w:r w:rsidRPr="00555ABF">
        <w:rPr>
          <w:b/>
          <w:bCs/>
        </w:rPr>
        <w:t xml:space="preserve"> </w:t>
      </w:r>
      <w:proofErr w:type="spellStart"/>
      <w:r w:rsidRPr="00555ABF">
        <w:rPr>
          <w:b/>
          <w:bCs/>
        </w:rPr>
        <w:t>привредном</w:t>
      </w:r>
      <w:proofErr w:type="spellEnd"/>
      <w:r w:rsidRPr="00555ABF">
        <w:rPr>
          <w:b/>
          <w:bCs/>
        </w:rPr>
        <w:t xml:space="preserve"> </w:t>
      </w:r>
      <w:proofErr w:type="spellStart"/>
      <w:r w:rsidRPr="00555ABF">
        <w:rPr>
          <w:b/>
          <w:bCs/>
        </w:rPr>
        <w:t>расту</w:t>
      </w:r>
      <w:proofErr w:type="spellEnd"/>
      <w:r w:rsidRPr="00555ABF">
        <w:rPr>
          <w:b/>
          <w:bCs/>
        </w:rPr>
        <w:t xml:space="preserve">. </w:t>
      </w:r>
      <w:proofErr w:type="spellStart"/>
      <w:r w:rsidRPr="00555ABF">
        <w:t>Растерећењем</w:t>
      </w:r>
      <w:proofErr w:type="spellEnd"/>
      <w:r w:rsidRPr="00555ABF">
        <w:t xml:space="preserve"> </w:t>
      </w:r>
      <w:proofErr w:type="spellStart"/>
      <w:r w:rsidRPr="00555ABF">
        <w:t>привреде</w:t>
      </w:r>
      <w:proofErr w:type="spellEnd"/>
      <w:r w:rsidRPr="00555ABF">
        <w:t xml:space="preserve">, </w:t>
      </w:r>
      <w:proofErr w:type="spellStart"/>
      <w:r w:rsidRPr="00555ABF">
        <w:t>кроз</w:t>
      </w:r>
      <w:proofErr w:type="spellEnd"/>
      <w:r w:rsidRPr="00555ABF">
        <w:t xml:space="preserve"> </w:t>
      </w:r>
      <w:proofErr w:type="spellStart"/>
      <w:r w:rsidRPr="00555ABF">
        <w:t>смањење</w:t>
      </w:r>
      <w:proofErr w:type="spellEnd"/>
      <w:r w:rsidRPr="00555ABF">
        <w:t xml:space="preserve"> </w:t>
      </w:r>
      <w:proofErr w:type="spellStart"/>
      <w:r w:rsidRPr="00555ABF">
        <w:t>фискалног</w:t>
      </w:r>
      <w:proofErr w:type="spellEnd"/>
      <w:r w:rsidRPr="00555ABF">
        <w:t xml:space="preserve"> </w:t>
      </w:r>
      <w:proofErr w:type="spellStart"/>
      <w:r w:rsidRPr="00555ABF">
        <w:t>оптерећења</w:t>
      </w:r>
      <w:proofErr w:type="spellEnd"/>
      <w:r w:rsidRPr="00555ABF">
        <w:t xml:space="preserve">, </w:t>
      </w:r>
      <w:proofErr w:type="spellStart"/>
      <w:r w:rsidRPr="00555ABF">
        <w:t>подстиче</w:t>
      </w:r>
      <w:proofErr w:type="spellEnd"/>
      <w:r w:rsidRPr="00555ABF">
        <w:t xml:space="preserve"> </w:t>
      </w:r>
      <w:proofErr w:type="spellStart"/>
      <w:r w:rsidRPr="00555ABF">
        <w:t>се</w:t>
      </w:r>
      <w:proofErr w:type="spellEnd"/>
      <w:r w:rsidRPr="00555ABF">
        <w:t xml:space="preserve"> </w:t>
      </w:r>
      <w:proofErr w:type="spellStart"/>
      <w:r w:rsidRPr="00555ABF">
        <w:t>раст</w:t>
      </w:r>
      <w:proofErr w:type="spellEnd"/>
      <w:r w:rsidRPr="00555ABF">
        <w:t xml:space="preserve"> и </w:t>
      </w:r>
      <w:proofErr w:type="spellStart"/>
      <w:r w:rsidRPr="00555ABF">
        <w:t>отварање</w:t>
      </w:r>
      <w:proofErr w:type="spellEnd"/>
      <w:r w:rsidRPr="00555ABF">
        <w:t xml:space="preserve"> </w:t>
      </w:r>
      <w:proofErr w:type="spellStart"/>
      <w:r w:rsidRPr="00555ABF">
        <w:t>нових</w:t>
      </w:r>
      <w:proofErr w:type="spellEnd"/>
      <w:r w:rsidRPr="00555ABF">
        <w:t xml:space="preserve"> </w:t>
      </w:r>
      <w:proofErr w:type="spellStart"/>
      <w:r w:rsidRPr="00555ABF">
        <w:t>радних</w:t>
      </w:r>
      <w:proofErr w:type="spellEnd"/>
      <w:r w:rsidRPr="00555ABF">
        <w:t xml:space="preserve"> </w:t>
      </w:r>
      <w:proofErr w:type="spellStart"/>
      <w:r w:rsidRPr="00555ABF">
        <w:t>места</w:t>
      </w:r>
      <w:proofErr w:type="spellEnd"/>
      <w:r w:rsidRPr="00555ABF">
        <w:t xml:space="preserve">. С </w:t>
      </w:r>
      <w:proofErr w:type="spellStart"/>
      <w:r w:rsidRPr="00555ABF">
        <w:t>друге</w:t>
      </w:r>
      <w:proofErr w:type="spellEnd"/>
      <w:r w:rsidRPr="00555ABF">
        <w:t xml:space="preserve"> </w:t>
      </w:r>
      <w:proofErr w:type="spellStart"/>
      <w:r w:rsidRPr="00555ABF">
        <w:t>стране</w:t>
      </w:r>
      <w:proofErr w:type="spellEnd"/>
      <w:r w:rsidRPr="00555ABF">
        <w:t xml:space="preserve">, </w:t>
      </w:r>
      <w:proofErr w:type="spellStart"/>
      <w:r w:rsidRPr="00555ABF">
        <w:t>фискални</w:t>
      </w:r>
      <w:proofErr w:type="spellEnd"/>
      <w:r w:rsidRPr="00555ABF">
        <w:t xml:space="preserve"> </w:t>
      </w:r>
      <w:proofErr w:type="spellStart"/>
      <w:r w:rsidRPr="00555ABF">
        <w:t>простор</w:t>
      </w:r>
      <w:proofErr w:type="spellEnd"/>
      <w:r w:rsidRPr="00555ABF">
        <w:t xml:space="preserve"> </w:t>
      </w:r>
      <w:proofErr w:type="spellStart"/>
      <w:r w:rsidRPr="00555ABF">
        <w:t>омогућио</w:t>
      </w:r>
      <w:proofErr w:type="spellEnd"/>
      <w:r w:rsidRPr="00555ABF">
        <w:t xml:space="preserve"> </w:t>
      </w:r>
      <w:proofErr w:type="spellStart"/>
      <w:r w:rsidRPr="00555ABF">
        <w:t>је</w:t>
      </w:r>
      <w:proofErr w:type="spellEnd"/>
      <w:r w:rsidRPr="00555ABF">
        <w:t xml:space="preserve"> </w:t>
      </w:r>
      <w:proofErr w:type="spellStart"/>
      <w:r w:rsidRPr="00555ABF">
        <w:t>већу</w:t>
      </w:r>
      <w:proofErr w:type="spellEnd"/>
      <w:r w:rsidRPr="00555ABF">
        <w:t xml:space="preserve"> </w:t>
      </w:r>
      <w:proofErr w:type="spellStart"/>
      <w:r w:rsidRPr="00555ABF">
        <w:t>алокацију</w:t>
      </w:r>
      <w:proofErr w:type="spellEnd"/>
      <w:r w:rsidRPr="00555ABF">
        <w:t xml:space="preserve"> </w:t>
      </w:r>
      <w:proofErr w:type="spellStart"/>
      <w:r w:rsidRPr="00555ABF">
        <w:t>средстава</w:t>
      </w:r>
      <w:proofErr w:type="spellEnd"/>
      <w:r w:rsidRPr="00555ABF">
        <w:t xml:space="preserve"> </w:t>
      </w:r>
      <w:proofErr w:type="spellStart"/>
      <w:r w:rsidRPr="00555ABF">
        <w:t>за</w:t>
      </w:r>
      <w:proofErr w:type="spellEnd"/>
      <w:r w:rsidRPr="00555ABF">
        <w:t xml:space="preserve"> </w:t>
      </w:r>
      <w:proofErr w:type="spellStart"/>
      <w:r w:rsidRPr="00555ABF">
        <w:t>јавну</w:t>
      </w:r>
      <w:proofErr w:type="spellEnd"/>
      <w:r w:rsidRPr="00555ABF">
        <w:t xml:space="preserve"> </w:t>
      </w:r>
      <w:proofErr w:type="spellStart"/>
      <w:r w:rsidRPr="00555ABF">
        <w:t>инфраструктуру</w:t>
      </w:r>
      <w:proofErr w:type="spellEnd"/>
      <w:r w:rsidRPr="00555ABF">
        <w:t xml:space="preserve">. </w:t>
      </w:r>
      <w:proofErr w:type="spellStart"/>
      <w:r w:rsidRPr="00555ABF">
        <w:t>Како</w:t>
      </w:r>
      <w:proofErr w:type="spellEnd"/>
      <w:r w:rsidRPr="00555ABF">
        <w:t xml:space="preserve"> </w:t>
      </w:r>
      <w:proofErr w:type="spellStart"/>
      <w:r w:rsidRPr="00555ABF">
        <w:t>би</w:t>
      </w:r>
      <w:proofErr w:type="spellEnd"/>
      <w:r w:rsidRPr="00555ABF">
        <w:t xml:space="preserve"> </w:t>
      </w:r>
      <w:proofErr w:type="spellStart"/>
      <w:r w:rsidRPr="00555ABF">
        <w:t>се</w:t>
      </w:r>
      <w:proofErr w:type="spellEnd"/>
      <w:r w:rsidRPr="00555ABF">
        <w:t xml:space="preserve"> </w:t>
      </w:r>
      <w:proofErr w:type="spellStart"/>
      <w:r w:rsidRPr="00555ABF">
        <w:t>на</w:t>
      </w:r>
      <w:proofErr w:type="spellEnd"/>
      <w:r w:rsidRPr="00555ABF">
        <w:t xml:space="preserve"> </w:t>
      </w:r>
      <w:proofErr w:type="spellStart"/>
      <w:r w:rsidRPr="00555ABF">
        <w:t>најбољи</w:t>
      </w:r>
      <w:proofErr w:type="spellEnd"/>
      <w:r w:rsidRPr="00555ABF">
        <w:t xml:space="preserve"> </w:t>
      </w:r>
      <w:proofErr w:type="spellStart"/>
      <w:r w:rsidRPr="00555ABF">
        <w:t>начин</w:t>
      </w:r>
      <w:proofErr w:type="spellEnd"/>
      <w:r w:rsidRPr="00555ABF">
        <w:t xml:space="preserve"> </w:t>
      </w:r>
      <w:proofErr w:type="spellStart"/>
      <w:r w:rsidRPr="00555ABF">
        <w:t>превазишао</w:t>
      </w:r>
      <w:proofErr w:type="spellEnd"/>
      <w:r w:rsidRPr="00555ABF">
        <w:t xml:space="preserve"> </w:t>
      </w:r>
      <w:proofErr w:type="spellStart"/>
      <w:r w:rsidRPr="00555ABF">
        <w:t>инфраструктурни</w:t>
      </w:r>
      <w:proofErr w:type="spellEnd"/>
      <w:r w:rsidRPr="00555ABF">
        <w:t xml:space="preserve"> </w:t>
      </w:r>
      <w:proofErr w:type="spellStart"/>
      <w:r w:rsidRPr="00555ABF">
        <w:t>јаз</w:t>
      </w:r>
      <w:proofErr w:type="spellEnd"/>
      <w:r w:rsidRPr="00555ABF">
        <w:t xml:space="preserve">, </w:t>
      </w:r>
      <w:proofErr w:type="spellStart"/>
      <w:r w:rsidRPr="00555ABF">
        <w:t>односно</w:t>
      </w:r>
      <w:proofErr w:type="spellEnd"/>
      <w:r w:rsidRPr="00555ABF">
        <w:t xml:space="preserve"> </w:t>
      </w:r>
      <w:proofErr w:type="spellStart"/>
      <w:r w:rsidRPr="00555ABF">
        <w:t>побољшао</w:t>
      </w:r>
      <w:proofErr w:type="spellEnd"/>
      <w:r w:rsidRPr="00555ABF">
        <w:t xml:space="preserve"> </w:t>
      </w:r>
      <w:proofErr w:type="spellStart"/>
      <w:r w:rsidRPr="00555ABF">
        <w:t>квалитет</w:t>
      </w:r>
      <w:proofErr w:type="spellEnd"/>
      <w:r w:rsidRPr="00555ABF">
        <w:t xml:space="preserve"> и </w:t>
      </w:r>
      <w:proofErr w:type="spellStart"/>
      <w:r w:rsidRPr="00555ABF">
        <w:t>квантитет</w:t>
      </w:r>
      <w:proofErr w:type="spellEnd"/>
      <w:r w:rsidRPr="00555ABF">
        <w:t xml:space="preserve"> </w:t>
      </w:r>
      <w:proofErr w:type="spellStart"/>
      <w:r w:rsidRPr="00555ABF">
        <w:t>јавне</w:t>
      </w:r>
      <w:proofErr w:type="spellEnd"/>
      <w:r w:rsidRPr="00555ABF">
        <w:t xml:space="preserve"> </w:t>
      </w:r>
      <w:proofErr w:type="spellStart"/>
      <w:r w:rsidRPr="00555ABF">
        <w:t>инфраструктуре</w:t>
      </w:r>
      <w:proofErr w:type="spellEnd"/>
      <w:r w:rsidRPr="00555ABF">
        <w:t xml:space="preserve">, </w:t>
      </w:r>
      <w:proofErr w:type="spellStart"/>
      <w:r w:rsidRPr="00555ABF">
        <w:t>потребно</w:t>
      </w:r>
      <w:proofErr w:type="spellEnd"/>
      <w:r w:rsidRPr="00555ABF">
        <w:t xml:space="preserve"> </w:t>
      </w:r>
      <w:proofErr w:type="spellStart"/>
      <w:r w:rsidRPr="00555ABF">
        <w:t>је</w:t>
      </w:r>
      <w:proofErr w:type="spellEnd"/>
      <w:r w:rsidRPr="00555ABF">
        <w:t xml:space="preserve"> и </w:t>
      </w:r>
      <w:proofErr w:type="spellStart"/>
      <w:r w:rsidRPr="00555ABF">
        <w:t>значајније</w:t>
      </w:r>
      <w:proofErr w:type="spellEnd"/>
      <w:r w:rsidRPr="00555ABF">
        <w:t xml:space="preserve"> </w:t>
      </w:r>
      <w:proofErr w:type="spellStart"/>
      <w:r w:rsidRPr="00555ABF">
        <w:t>побољшати</w:t>
      </w:r>
      <w:proofErr w:type="spellEnd"/>
      <w:r w:rsidRPr="00555ABF">
        <w:t xml:space="preserve"> </w:t>
      </w:r>
      <w:proofErr w:type="spellStart"/>
      <w:r w:rsidRPr="00555ABF">
        <w:t>систем</w:t>
      </w:r>
      <w:proofErr w:type="spellEnd"/>
      <w:r w:rsidRPr="00555ABF">
        <w:t xml:space="preserve"> </w:t>
      </w:r>
      <w:proofErr w:type="spellStart"/>
      <w:r w:rsidRPr="00555ABF">
        <w:t>управљања</w:t>
      </w:r>
      <w:proofErr w:type="spellEnd"/>
      <w:r w:rsidRPr="00555ABF">
        <w:t xml:space="preserve"> </w:t>
      </w:r>
      <w:proofErr w:type="spellStart"/>
      <w:r w:rsidRPr="00555ABF">
        <w:t>јавним</w:t>
      </w:r>
      <w:proofErr w:type="spellEnd"/>
      <w:r w:rsidRPr="00555ABF">
        <w:t xml:space="preserve"> </w:t>
      </w:r>
      <w:proofErr w:type="spellStart"/>
      <w:r w:rsidRPr="00555ABF">
        <w:t>инвестицијама</w:t>
      </w:r>
      <w:proofErr w:type="spellEnd"/>
      <w:r w:rsidRPr="00555ABF">
        <w:t xml:space="preserve">. </w:t>
      </w:r>
      <w:proofErr w:type="spellStart"/>
      <w:r w:rsidRPr="00555ABF">
        <w:t>Коначно</w:t>
      </w:r>
      <w:proofErr w:type="spellEnd"/>
      <w:r w:rsidRPr="00555ABF">
        <w:t xml:space="preserve">, </w:t>
      </w:r>
      <w:proofErr w:type="spellStart"/>
      <w:r w:rsidRPr="00555ABF">
        <w:t>стабилизацијом</w:t>
      </w:r>
      <w:proofErr w:type="spellEnd"/>
      <w:r w:rsidRPr="00555ABF">
        <w:t xml:space="preserve"> </w:t>
      </w:r>
      <w:proofErr w:type="spellStart"/>
      <w:r w:rsidRPr="00555ABF">
        <w:t>јавних</w:t>
      </w:r>
      <w:proofErr w:type="spellEnd"/>
      <w:r w:rsidRPr="00555ABF">
        <w:t xml:space="preserve"> </w:t>
      </w:r>
      <w:proofErr w:type="spellStart"/>
      <w:r w:rsidRPr="00555ABF">
        <w:t>финансија</w:t>
      </w:r>
      <w:proofErr w:type="spellEnd"/>
      <w:r w:rsidRPr="00555ABF">
        <w:t xml:space="preserve"> </w:t>
      </w:r>
      <w:proofErr w:type="spellStart"/>
      <w:r w:rsidRPr="00555ABF">
        <w:t>отворио</w:t>
      </w:r>
      <w:proofErr w:type="spellEnd"/>
      <w:r w:rsidRPr="00555ABF">
        <w:t xml:space="preserve"> </w:t>
      </w:r>
      <w:proofErr w:type="spellStart"/>
      <w:r w:rsidRPr="00555ABF">
        <w:t>се</w:t>
      </w:r>
      <w:proofErr w:type="spellEnd"/>
      <w:r w:rsidRPr="00555ABF">
        <w:t xml:space="preserve"> </w:t>
      </w:r>
      <w:proofErr w:type="spellStart"/>
      <w:r w:rsidRPr="00555ABF">
        <w:t>простор</w:t>
      </w:r>
      <w:proofErr w:type="spellEnd"/>
      <w:r w:rsidRPr="00555ABF">
        <w:t xml:space="preserve"> </w:t>
      </w:r>
      <w:proofErr w:type="spellStart"/>
      <w:r w:rsidRPr="00555ABF">
        <w:t>за</w:t>
      </w:r>
      <w:proofErr w:type="spellEnd"/>
      <w:r w:rsidRPr="00555ABF">
        <w:t xml:space="preserve"> </w:t>
      </w:r>
      <w:proofErr w:type="spellStart"/>
      <w:r w:rsidRPr="00555ABF">
        <w:t>напуштање</w:t>
      </w:r>
      <w:proofErr w:type="spellEnd"/>
      <w:r w:rsidRPr="00555ABF">
        <w:t xml:space="preserve"> </w:t>
      </w:r>
      <w:proofErr w:type="spellStart"/>
      <w:r w:rsidRPr="00555ABF">
        <w:t>кризних</w:t>
      </w:r>
      <w:proofErr w:type="spellEnd"/>
      <w:r w:rsidRPr="00555ABF">
        <w:t xml:space="preserve"> </w:t>
      </w:r>
      <w:proofErr w:type="spellStart"/>
      <w:r w:rsidRPr="00555ABF">
        <w:t>мера</w:t>
      </w:r>
      <w:proofErr w:type="spellEnd"/>
      <w:r w:rsidRPr="00555ABF">
        <w:t xml:space="preserve"> </w:t>
      </w:r>
      <w:proofErr w:type="spellStart"/>
      <w:r w:rsidRPr="00555ABF">
        <w:t>које</w:t>
      </w:r>
      <w:proofErr w:type="spellEnd"/>
      <w:r w:rsidRPr="00555ABF">
        <w:t xml:space="preserve"> </w:t>
      </w:r>
      <w:proofErr w:type="spellStart"/>
      <w:r w:rsidRPr="00555ABF">
        <w:t>су</w:t>
      </w:r>
      <w:proofErr w:type="spellEnd"/>
      <w:r w:rsidRPr="00555ABF">
        <w:t xml:space="preserve"> </w:t>
      </w:r>
      <w:proofErr w:type="spellStart"/>
      <w:r w:rsidRPr="00555ABF">
        <w:t>биле</w:t>
      </w:r>
      <w:proofErr w:type="spellEnd"/>
      <w:r w:rsidRPr="00555ABF">
        <w:t xml:space="preserve"> </w:t>
      </w:r>
      <w:proofErr w:type="spellStart"/>
      <w:r w:rsidRPr="00555ABF">
        <w:t>примењене</w:t>
      </w:r>
      <w:proofErr w:type="spellEnd"/>
      <w:r w:rsidRPr="00555ABF">
        <w:t xml:space="preserve"> </w:t>
      </w:r>
      <w:proofErr w:type="spellStart"/>
      <w:r w:rsidRPr="00555ABF">
        <w:t>током</w:t>
      </w:r>
      <w:proofErr w:type="spellEnd"/>
      <w:r w:rsidRPr="00555ABF">
        <w:t xml:space="preserve"> </w:t>
      </w:r>
      <w:proofErr w:type="spellStart"/>
      <w:r w:rsidRPr="00555ABF">
        <w:t>програма</w:t>
      </w:r>
      <w:proofErr w:type="spellEnd"/>
      <w:r w:rsidRPr="00555ABF">
        <w:t xml:space="preserve"> </w:t>
      </w:r>
      <w:proofErr w:type="spellStart"/>
      <w:r w:rsidRPr="00555ABF">
        <w:t>фискалне</w:t>
      </w:r>
      <w:proofErr w:type="spellEnd"/>
      <w:r w:rsidRPr="00555ABF">
        <w:t xml:space="preserve"> </w:t>
      </w:r>
      <w:proofErr w:type="spellStart"/>
      <w:r w:rsidRPr="00555ABF">
        <w:t>консолидације</w:t>
      </w:r>
      <w:proofErr w:type="spellEnd"/>
      <w:r w:rsidRPr="00555ABF">
        <w:t xml:space="preserve"> у </w:t>
      </w:r>
      <w:proofErr w:type="spellStart"/>
      <w:r w:rsidRPr="00555ABF">
        <w:t>протеклом</w:t>
      </w:r>
      <w:proofErr w:type="spellEnd"/>
      <w:r w:rsidRPr="00555ABF">
        <w:t xml:space="preserve"> </w:t>
      </w:r>
      <w:proofErr w:type="spellStart"/>
      <w:r w:rsidRPr="00555ABF">
        <w:t>периоду</w:t>
      </w:r>
      <w:proofErr w:type="spellEnd"/>
      <w:r w:rsidRPr="00555ABF">
        <w:t xml:space="preserve">. </w:t>
      </w:r>
      <w:r w:rsidRPr="00555ABF">
        <w:rPr>
          <w:rFonts w:ascii="Calibri" w:hAnsi="Calibri" w:cs="Calibri"/>
        </w:rPr>
        <w:t xml:space="preserve">4 </w:t>
      </w:r>
    </w:p>
    <w:p w:rsidR="00555ABF" w:rsidRPr="00555ABF" w:rsidRDefault="00555ABF" w:rsidP="00555ABF">
      <w:pPr>
        <w:pStyle w:val="Default"/>
        <w:rPr>
          <w:color w:val="auto"/>
        </w:rPr>
      </w:pPr>
    </w:p>
    <w:p w:rsidR="00555ABF" w:rsidRPr="00555ABF" w:rsidRDefault="00555ABF" w:rsidP="00AA0E63">
      <w:pPr>
        <w:pStyle w:val="Default"/>
        <w:pageBreakBefore/>
        <w:ind w:firstLine="360"/>
        <w:rPr>
          <w:color w:val="auto"/>
        </w:rPr>
      </w:pPr>
      <w:proofErr w:type="spellStart"/>
      <w:r w:rsidRPr="00555ABF">
        <w:rPr>
          <w:b/>
          <w:bCs/>
          <w:color w:val="auto"/>
        </w:rPr>
        <w:lastRenderedPageBreak/>
        <w:t>Средњорочни</w:t>
      </w:r>
      <w:proofErr w:type="spellEnd"/>
      <w:r w:rsidRPr="00555ABF">
        <w:rPr>
          <w:b/>
          <w:bCs/>
          <w:color w:val="auto"/>
        </w:rPr>
        <w:t xml:space="preserve"> </w:t>
      </w:r>
      <w:proofErr w:type="spellStart"/>
      <w:r w:rsidRPr="00555ABF">
        <w:rPr>
          <w:b/>
          <w:bCs/>
          <w:color w:val="auto"/>
        </w:rPr>
        <w:t>правац</w:t>
      </w:r>
      <w:proofErr w:type="spellEnd"/>
      <w:r w:rsidRPr="00555ABF">
        <w:rPr>
          <w:b/>
          <w:bCs/>
          <w:color w:val="auto"/>
        </w:rPr>
        <w:t xml:space="preserve"> </w:t>
      </w:r>
      <w:proofErr w:type="spellStart"/>
      <w:r w:rsidRPr="00555ABF">
        <w:rPr>
          <w:b/>
          <w:bCs/>
          <w:color w:val="auto"/>
        </w:rPr>
        <w:t>фискалне</w:t>
      </w:r>
      <w:proofErr w:type="spellEnd"/>
      <w:r w:rsidRPr="00555ABF">
        <w:rPr>
          <w:b/>
          <w:bCs/>
          <w:color w:val="auto"/>
        </w:rPr>
        <w:t xml:space="preserve"> </w:t>
      </w:r>
      <w:proofErr w:type="spellStart"/>
      <w:r w:rsidRPr="00555ABF">
        <w:rPr>
          <w:b/>
          <w:bCs/>
          <w:color w:val="auto"/>
        </w:rPr>
        <w:t>политике</w:t>
      </w:r>
      <w:proofErr w:type="spellEnd"/>
      <w:r w:rsidRPr="00555ABF">
        <w:rPr>
          <w:b/>
          <w:bCs/>
          <w:color w:val="auto"/>
        </w:rPr>
        <w:t xml:space="preserve"> </w:t>
      </w:r>
      <w:proofErr w:type="spellStart"/>
      <w:r w:rsidRPr="00555ABF">
        <w:rPr>
          <w:b/>
          <w:bCs/>
          <w:color w:val="auto"/>
        </w:rPr>
        <w:t>поставља</w:t>
      </w:r>
      <w:proofErr w:type="spellEnd"/>
      <w:r w:rsidRPr="00555ABF">
        <w:rPr>
          <w:b/>
          <w:bCs/>
          <w:color w:val="auto"/>
        </w:rPr>
        <w:t xml:space="preserve"> и </w:t>
      </w:r>
      <w:proofErr w:type="spellStart"/>
      <w:r w:rsidRPr="00555ABF">
        <w:rPr>
          <w:b/>
          <w:bCs/>
          <w:color w:val="auto"/>
        </w:rPr>
        <w:t>оквир</w:t>
      </w:r>
      <w:proofErr w:type="spellEnd"/>
      <w:r w:rsidRPr="00555ABF">
        <w:rPr>
          <w:b/>
          <w:bCs/>
          <w:color w:val="auto"/>
        </w:rPr>
        <w:t xml:space="preserve"> </w:t>
      </w:r>
      <w:proofErr w:type="spellStart"/>
      <w:r w:rsidRPr="00555ABF">
        <w:rPr>
          <w:b/>
          <w:bCs/>
          <w:color w:val="auto"/>
        </w:rPr>
        <w:t>буџета</w:t>
      </w:r>
      <w:proofErr w:type="spellEnd"/>
      <w:r w:rsidRPr="00555ABF">
        <w:rPr>
          <w:b/>
          <w:bCs/>
          <w:color w:val="auto"/>
        </w:rPr>
        <w:t xml:space="preserve"> у 2020. </w:t>
      </w:r>
      <w:proofErr w:type="spellStart"/>
      <w:r w:rsidRPr="00555ABF">
        <w:rPr>
          <w:b/>
          <w:bCs/>
          <w:color w:val="auto"/>
        </w:rPr>
        <w:t>години</w:t>
      </w:r>
      <w:proofErr w:type="spellEnd"/>
      <w:r w:rsidRPr="00555ABF">
        <w:rPr>
          <w:b/>
          <w:bCs/>
          <w:color w:val="auto"/>
        </w:rPr>
        <w:t xml:space="preserve">. </w:t>
      </w:r>
      <w:proofErr w:type="spellStart"/>
      <w:r w:rsidRPr="00555ABF">
        <w:rPr>
          <w:color w:val="auto"/>
        </w:rPr>
        <w:t>Буџетом</w:t>
      </w:r>
      <w:proofErr w:type="spellEnd"/>
      <w:r w:rsidRPr="00555ABF">
        <w:rPr>
          <w:color w:val="auto"/>
        </w:rPr>
        <w:t xml:space="preserve"> за 2020. </w:t>
      </w:r>
      <w:proofErr w:type="spellStart"/>
      <w:r w:rsidRPr="00555ABF">
        <w:rPr>
          <w:color w:val="auto"/>
        </w:rPr>
        <w:t>годину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обезбедиће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се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даље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фискално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растерећење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привреде</w:t>
      </w:r>
      <w:proofErr w:type="spellEnd"/>
      <w:r w:rsidRPr="00555ABF">
        <w:rPr>
          <w:color w:val="auto"/>
        </w:rPr>
        <w:t xml:space="preserve">, </w:t>
      </w:r>
      <w:proofErr w:type="spellStart"/>
      <w:r w:rsidRPr="00555ABF">
        <w:rPr>
          <w:color w:val="auto"/>
        </w:rPr>
        <w:t>одрживо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повећање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пензија</w:t>
      </w:r>
      <w:proofErr w:type="spellEnd"/>
      <w:r w:rsidRPr="00555ABF">
        <w:rPr>
          <w:color w:val="auto"/>
        </w:rPr>
        <w:t xml:space="preserve"> и </w:t>
      </w:r>
      <w:proofErr w:type="spellStart"/>
      <w:r w:rsidRPr="00555ABF">
        <w:rPr>
          <w:color w:val="auto"/>
        </w:rPr>
        <w:t>плата</w:t>
      </w:r>
      <w:proofErr w:type="spellEnd"/>
      <w:r w:rsidRPr="00555ABF">
        <w:rPr>
          <w:color w:val="auto"/>
        </w:rPr>
        <w:t xml:space="preserve"> и </w:t>
      </w:r>
      <w:proofErr w:type="spellStart"/>
      <w:r w:rsidRPr="00555ABF">
        <w:rPr>
          <w:color w:val="auto"/>
        </w:rPr>
        <w:t>додатно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повећање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развојно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оријентисаних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расходних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категорија</w:t>
      </w:r>
      <w:proofErr w:type="spellEnd"/>
      <w:r w:rsidRPr="00555ABF">
        <w:rPr>
          <w:color w:val="auto"/>
        </w:rPr>
        <w:t xml:space="preserve">. </w:t>
      </w:r>
    </w:p>
    <w:p w:rsidR="00555ABF" w:rsidRPr="00555ABF" w:rsidRDefault="00555ABF" w:rsidP="00AA0E63">
      <w:pPr>
        <w:pStyle w:val="Default"/>
        <w:ind w:firstLine="360"/>
        <w:rPr>
          <w:color w:val="auto"/>
        </w:rPr>
      </w:pPr>
      <w:proofErr w:type="spellStart"/>
      <w:r w:rsidRPr="00555ABF">
        <w:rPr>
          <w:b/>
          <w:bCs/>
          <w:color w:val="auto"/>
        </w:rPr>
        <w:t>Напуштају</w:t>
      </w:r>
      <w:proofErr w:type="spellEnd"/>
      <w:r w:rsidRPr="00555ABF">
        <w:rPr>
          <w:b/>
          <w:bCs/>
          <w:color w:val="auto"/>
        </w:rPr>
        <w:t xml:space="preserve"> </w:t>
      </w:r>
      <w:proofErr w:type="spellStart"/>
      <w:r w:rsidRPr="00555ABF">
        <w:rPr>
          <w:b/>
          <w:bCs/>
          <w:color w:val="auto"/>
        </w:rPr>
        <w:t>се</w:t>
      </w:r>
      <w:proofErr w:type="spellEnd"/>
      <w:r w:rsidRPr="00555ABF">
        <w:rPr>
          <w:b/>
          <w:bCs/>
          <w:color w:val="auto"/>
        </w:rPr>
        <w:t xml:space="preserve"> у </w:t>
      </w:r>
      <w:proofErr w:type="spellStart"/>
      <w:r w:rsidRPr="00555ABF">
        <w:rPr>
          <w:b/>
          <w:bCs/>
          <w:color w:val="auto"/>
        </w:rPr>
        <w:t>потпуности</w:t>
      </w:r>
      <w:proofErr w:type="spellEnd"/>
      <w:r w:rsidRPr="00555ABF">
        <w:rPr>
          <w:b/>
          <w:bCs/>
          <w:color w:val="auto"/>
        </w:rPr>
        <w:t xml:space="preserve">, </w:t>
      </w:r>
      <w:proofErr w:type="spellStart"/>
      <w:r w:rsidRPr="00555ABF">
        <w:rPr>
          <w:b/>
          <w:bCs/>
          <w:color w:val="auto"/>
        </w:rPr>
        <w:t>из</w:t>
      </w:r>
      <w:proofErr w:type="spellEnd"/>
      <w:r w:rsidRPr="00555ABF">
        <w:rPr>
          <w:b/>
          <w:bCs/>
          <w:color w:val="auto"/>
        </w:rPr>
        <w:t xml:space="preserve"> </w:t>
      </w:r>
      <w:proofErr w:type="spellStart"/>
      <w:r w:rsidRPr="00555ABF">
        <w:rPr>
          <w:b/>
          <w:bCs/>
          <w:color w:val="auto"/>
        </w:rPr>
        <w:t>периода</w:t>
      </w:r>
      <w:proofErr w:type="spellEnd"/>
      <w:r w:rsidRPr="00555ABF">
        <w:rPr>
          <w:b/>
          <w:bCs/>
          <w:color w:val="auto"/>
        </w:rPr>
        <w:t xml:space="preserve"> </w:t>
      </w:r>
      <w:proofErr w:type="spellStart"/>
      <w:r w:rsidRPr="00555ABF">
        <w:rPr>
          <w:b/>
          <w:bCs/>
          <w:color w:val="auto"/>
        </w:rPr>
        <w:t>фискалне</w:t>
      </w:r>
      <w:proofErr w:type="spellEnd"/>
      <w:r w:rsidRPr="00555ABF">
        <w:rPr>
          <w:b/>
          <w:bCs/>
          <w:color w:val="auto"/>
        </w:rPr>
        <w:t xml:space="preserve"> </w:t>
      </w:r>
      <w:proofErr w:type="spellStart"/>
      <w:r w:rsidRPr="00555ABF">
        <w:rPr>
          <w:b/>
          <w:bCs/>
          <w:color w:val="auto"/>
        </w:rPr>
        <w:t>консолидације</w:t>
      </w:r>
      <w:proofErr w:type="spellEnd"/>
      <w:r w:rsidRPr="00555ABF">
        <w:rPr>
          <w:b/>
          <w:bCs/>
          <w:color w:val="auto"/>
        </w:rPr>
        <w:t xml:space="preserve">, </w:t>
      </w:r>
      <w:proofErr w:type="spellStart"/>
      <w:r w:rsidRPr="00555ABF">
        <w:rPr>
          <w:b/>
          <w:bCs/>
          <w:color w:val="auto"/>
        </w:rPr>
        <w:t>кризне</w:t>
      </w:r>
      <w:proofErr w:type="spellEnd"/>
      <w:r w:rsidRPr="00555ABF">
        <w:rPr>
          <w:b/>
          <w:bCs/>
          <w:color w:val="auto"/>
        </w:rPr>
        <w:t xml:space="preserve"> </w:t>
      </w:r>
      <w:proofErr w:type="spellStart"/>
      <w:r w:rsidRPr="00555ABF">
        <w:rPr>
          <w:b/>
          <w:bCs/>
          <w:color w:val="auto"/>
        </w:rPr>
        <w:t>мере</w:t>
      </w:r>
      <w:proofErr w:type="spellEnd"/>
      <w:r w:rsidRPr="00555ABF">
        <w:rPr>
          <w:b/>
          <w:bCs/>
          <w:color w:val="auto"/>
        </w:rPr>
        <w:t xml:space="preserve">. </w:t>
      </w:r>
      <w:proofErr w:type="spellStart"/>
      <w:r w:rsidRPr="00555ABF">
        <w:rPr>
          <w:color w:val="auto"/>
        </w:rPr>
        <w:t>Дефинитивно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се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укида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Закон</w:t>
      </w:r>
      <w:proofErr w:type="spellEnd"/>
      <w:r w:rsidRPr="00555ABF">
        <w:rPr>
          <w:color w:val="auto"/>
        </w:rPr>
        <w:t xml:space="preserve"> о </w:t>
      </w:r>
      <w:proofErr w:type="spellStart"/>
      <w:r w:rsidRPr="00555ABF">
        <w:rPr>
          <w:color w:val="auto"/>
        </w:rPr>
        <w:t>привременом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уређивању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основица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за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обрачун</w:t>
      </w:r>
      <w:proofErr w:type="spellEnd"/>
      <w:r w:rsidRPr="00555ABF">
        <w:rPr>
          <w:color w:val="auto"/>
        </w:rPr>
        <w:t xml:space="preserve"> и </w:t>
      </w:r>
      <w:proofErr w:type="spellStart"/>
      <w:r w:rsidRPr="00555ABF">
        <w:rPr>
          <w:color w:val="auto"/>
        </w:rPr>
        <w:t>исплату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плата</w:t>
      </w:r>
      <w:proofErr w:type="spellEnd"/>
      <w:r w:rsidRPr="00555ABF">
        <w:rPr>
          <w:color w:val="auto"/>
        </w:rPr>
        <w:t xml:space="preserve">, </w:t>
      </w:r>
      <w:proofErr w:type="spellStart"/>
      <w:r w:rsidRPr="00555ABF">
        <w:rPr>
          <w:color w:val="auto"/>
        </w:rPr>
        <w:t>односно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зарада</w:t>
      </w:r>
      <w:proofErr w:type="spellEnd"/>
      <w:r w:rsidRPr="00555ABF">
        <w:rPr>
          <w:color w:val="auto"/>
        </w:rPr>
        <w:t xml:space="preserve"> и </w:t>
      </w:r>
      <w:proofErr w:type="spellStart"/>
      <w:r w:rsidRPr="00555ABF">
        <w:rPr>
          <w:color w:val="auto"/>
        </w:rPr>
        <w:t>других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сталних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примања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код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корисника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јавних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средстава</w:t>
      </w:r>
      <w:proofErr w:type="spellEnd"/>
      <w:r w:rsidRPr="00555ABF">
        <w:rPr>
          <w:color w:val="auto"/>
        </w:rPr>
        <w:t xml:space="preserve"> („</w:t>
      </w:r>
      <w:proofErr w:type="spellStart"/>
      <w:r w:rsidRPr="00555ABF">
        <w:rPr>
          <w:color w:val="auto"/>
        </w:rPr>
        <w:t>Службени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гласник</w:t>
      </w:r>
      <w:proofErr w:type="spellEnd"/>
      <w:r w:rsidRPr="00555ABF">
        <w:rPr>
          <w:color w:val="auto"/>
        </w:rPr>
        <w:t xml:space="preserve"> РС”, </w:t>
      </w:r>
      <w:proofErr w:type="spellStart"/>
      <w:r w:rsidRPr="00555ABF">
        <w:rPr>
          <w:color w:val="auto"/>
        </w:rPr>
        <w:t>број</w:t>
      </w:r>
      <w:proofErr w:type="spellEnd"/>
      <w:r w:rsidRPr="00555ABF">
        <w:rPr>
          <w:color w:val="auto"/>
        </w:rPr>
        <w:t xml:space="preserve"> 116/14), </w:t>
      </w:r>
      <w:proofErr w:type="spellStart"/>
      <w:r w:rsidRPr="00555ABF">
        <w:rPr>
          <w:color w:val="auto"/>
        </w:rPr>
        <w:t>чије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је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фазно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укидање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почело</w:t>
      </w:r>
      <w:proofErr w:type="spellEnd"/>
      <w:r w:rsidRPr="00555ABF">
        <w:rPr>
          <w:color w:val="auto"/>
        </w:rPr>
        <w:t xml:space="preserve"> у </w:t>
      </w:r>
      <w:proofErr w:type="spellStart"/>
      <w:r w:rsidRPr="00555ABF">
        <w:rPr>
          <w:color w:val="auto"/>
        </w:rPr>
        <w:t>овој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години</w:t>
      </w:r>
      <w:proofErr w:type="spellEnd"/>
      <w:r w:rsidRPr="00555ABF">
        <w:rPr>
          <w:color w:val="auto"/>
        </w:rPr>
        <w:t xml:space="preserve">. </w:t>
      </w:r>
    </w:p>
    <w:p w:rsidR="00555ABF" w:rsidRPr="00555ABF" w:rsidRDefault="00555ABF" w:rsidP="00AA0E63">
      <w:pPr>
        <w:pStyle w:val="Default"/>
        <w:ind w:firstLine="360"/>
        <w:rPr>
          <w:color w:val="auto"/>
        </w:rPr>
      </w:pPr>
      <w:proofErr w:type="spellStart"/>
      <w:r w:rsidRPr="00555ABF">
        <w:rPr>
          <w:b/>
          <w:bCs/>
          <w:color w:val="auto"/>
        </w:rPr>
        <w:t>Простор</w:t>
      </w:r>
      <w:proofErr w:type="spellEnd"/>
      <w:r w:rsidRPr="00555ABF">
        <w:rPr>
          <w:b/>
          <w:bCs/>
          <w:color w:val="auto"/>
        </w:rPr>
        <w:t xml:space="preserve"> </w:t>
      </w:r>
      <w:proofErr w:type="spellStart"/>
      <w:r w:rsidRPr="00555ABF">
        <w:rPr>
          <w:b/>
          <w:bCs/>
          <w:color w:val="auto"/>
        </w:rPr>
        <w:t>опредељен</w:t>
      </w:r>
      <w:proofErr w:type="spellEnd"/>
      <w:r w:rsidRPr="00555ABF">
        <w:rPr>
          <w:b/>
          <w:bCs/>
          <w:color w:val="auto"/>
        </w:rPr>
        <w:t xml:space="preserve"> </w:t>
      </w:r>
      <w:proofErr w:type="spellStart"/>
      <w:r w:rsidRPr="00555ABF">
        <w:rPr>
          <w:b/>
          <w:bCs/>
          <w:color w:val="auto"/>
        </w:rPr>
        <w:t>за</w:t>
      </w:r>
      <w:proofErr w:type="spellEnd"/>
      <w:r w:rsidRPr="00555ABF">
        <w:rPr>
          <w:b/>
          <w:bCs/>
          <w:color w:val="auto"/>
        </w:rPr>
        <w:t xml:space="preserve"> </w:t>
      </w:r>
      <w:proofErr w:type="spellStart"/>
      <w:r w:rsidRPr="00555ABF">
        <w:rPr>
          <w:b/>
          <w:bCs/>
          <w:color w:val="auto"/>
        </w:rPr>
        <w:t>јавне</w:t>
      </w:r>
      <w:proofErr w:type="spellEnd"/>
      <w:r w:rsidRPr="00555ABF">
        <w:rPr>
          <w:b/>
          <w:bCs/>
          <w:color w:val="auto"/>
        </w:rPr>
        <w:t xml:space="preserve"> </w:t>
      </w:r>
      <w:proofErr w:type="spellStart"/>
      <w:r w:rsidRPr="00555ABF">
        <w:rPr>
          <w:b/>
          <w:bCs/>
          <w:color w:val="auto"/>
        </w:rPr>
        <w:t>инвестиције</w:t>
      </w:r>
      <w:proofErr w:type="spellEnd"/>
      <w:r w:rsidRPr="00555ABF">
        <w:rPr>
          <w:b/>
          <w:bCs/>
          <w:color w:val="auto"/>
        </w:rPr>
        <w:t xml:space="preserve"> </w:t>
      </w:r>
      <w:proofErr w:type="spellStart"/>
      <w:r w:rsidRPr="00555ABF">
        <w:rPr>
          <w:b/>
          <w:bCs/>
          <w:color w:val="auto"/>
        </w:rPr>
        <w:t>буџетом</w:t>
      </w:r>
      <w:proofErr w:type="spellEnd"/>
      <w:r w:rsidRPr="00555ABF">
        <w:rPr>
          <w:b/>
          <w:bCs/>
          <w:color w:val="auto"/>
        </w:rPr>
        <w:t xml:space="preserve"> </w:t>
      </w:r>
      <w:proofErr w:type="spellStart"/>
      <w:r w:rsidRPr="00555ABF">
        <w:rPr>
          <w:b/>
          <w:bCs/>
          <w:color w:val="auto"/>
        </w:rPr>
        <w:t>за</w:t>
      </w:r>
      <w:proofErr w:type="spellEnd"/>
      <w:r w:rsidRPr="00555ABF">
        <w:rPr>
          <w:b/>
          <w:bCs/>
          <w:color w:val="auto"/>
        </w:rPr>
        <w:t xml:space="preserve"> </w:t>
      </w:r>
      <w:proofErr w:type="spellStart"/>
      <w:r w:rsidRPr="00555ABF">
        <w:rPr>
          <w:b/>
          <w:bCs/>
          <w:color w:val="auto"/>
        </w:rPr>
        <w:t>наредну</w:t>
      </w:r>
      <w:proofErr w:type="spellEnd"/>
      <w:r w:rsidRPr="00555ABF">
        <w:rPr>
          <w:b/>
          <w:bCs/>
          <w:color w:val="auto"/>
        </w:rPr>
        <w:t xml:space="preserve"> </w:t>
      </w:r>
      <w:proofErr w:type="spellStart"/>
      <w:r w:rsidRPr="00555ABF">
        <w:rPr>
          <w:b/>
          <w:bCs/>
          <w:color w:val="auto"/>
        </w:rPr>
        <w:t>годину</w:t>
      </w:r>
      <w:proofErr w:type="spellEnd"/>
      <w:r w:rsidRPr="00555ABF">
        <w:rPr>
          <w:b/>
          <w:bCs/>
          <w:color w:val="auto"/>
        </w:rPr>
        <w:t xml:space="preserve"> </w:t>
      </w:r>
      <w:proofErr w:type="spellStart"/>
      <w:r w:rsidRPr="00555ABF">
        <w:rPr>
          <w:b/>
          <w:bCs/>
          <w:color w:val="auto"/>
        </w:rPr>
        <w:t>приближава</w:t>
      </w:r>
      <w:proofErr w:type="spellEnd"/>
      <w:r w:rsidRPr="00555ABF">
        <w:rPr>
          <w:b/>
          <w:bCs/>
          <w:color w:val="auto"/>
        </w:rPr>
        <w:t xml:space="preserve"> </w:t>
      </w:r>
      <w:proofErr w:type="spellStart"/>
      <w:r w:rsidRPr="00555ABF">
        <w:rPr>
          <w:b/>
          <w:bCs/>
          <w:color w:val="auto"/>
        </w:rPr>
        <w:t>се</w:t>
      </w:r>
      <w:proofErr w:type="spellEnd"/>
      <w:r w:rsidRPr="00555ABF">
        <w:rPr>
          <w:b/>
          <w:bCs/>
          <w:color w:val="auto"/>
        </w:rPr>
        <w:t xml:space="preserve"> </w:t>
      </w:r>
      <w:proofErr w:type="spellStart"/>
      <w:r w:rsidRPr="00555ABF">
        <w:rPr>
          <w:b/>
          <w:bCs/>
          <w:color w:val="auto"/>
        </w:rPr>
        <w:t>пожељном</w:t>
      </w:r>
      <w:proofErr w:type="spellEnd"/>
      <w:r w:rsidRPr="00555ABF">
        <w:rPr>
          <w:b/>
          <w:bCs/>
          <w:color w:val="auto"/>
        </w:rPr>
        <w:t xml:space="preserve"> и </w:t>
      </w:r>
      <w:proofErr w:type="spellStart"/>
      <w:r w:rsidRPr="00555ABF">
        <w:rPr>
          <w:b/>
          <w:bCs/>
          <w:color w:val="auto"/>
        </w:rPr>
        <w:t>потребном</w:t>
      </w:r>
      <w:proofErr w:type="spellEnd"/>
      <w:r w:rsidRPr="00555ABF">
        <w:rPr>
          <w:b/>
          <w:bCs/>
          <w:color w:val="auto"/>
        </w:rPr>
        <w:t xml:space="preserve"> </w:t>
      </w:r>
      <w:proofErr w:type="spellStart"/>
      <w:r w:rsidRPr="00555ABF">
        <w:rPr>
          <w:b/>
          <w:bCs/>
          <w:color w:val="auto"/>
        </w:rPr>
        <w:t>нивоу</w:t>
      </w:r>
      <w:proofErr w:type="spellEnd"/>
      <w:r w:rsidRPr="00555ABF">
        <w:rPr>
          <w:b/>
          <w:bCs/>
          <w:color w:val="auto"/>
        </w:rPr>
        <w:t xml:space="preserve">. </w:t>
      </w:r>
      <w:r w:rsidRPr="00555ABF">
        <w:rPr>
          <w:color w:val="auto"/>
        </w:rPr>
        <w:t xml:space="preserve">У </w:t>
      </w:r>
      <w:proofErr w:type="spellStart"/>
      <w:r w:rsidRPr="00555ABF">
        <w:rPr>
          <w:color w:val="auto"/>
        </w:rPr>
        <w:t>републичком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буџету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средства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опредељена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за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јавне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инвестиције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чине</w:t>
      </w:r>
      <w:proofErr w:type="spellEnd"/>
      <w:r w:rsidRPr="00555ABF">
        <w:rPr>
          <w:color w:val="auto"/>
        </w:rPr>
        <w:t xml:space="preserve"> 3,2% БДП-а, </w:t>
      </w:r>
      <w:proofErr w:type="spellStart"/>
      <w:r w:rsidRPr="00555ABF">
        <w:rPr>
          <w:color w:val="auto"/>
        </w:rPr>
        <w:t>док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на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нивоу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опште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државе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који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укључује</w:t>
      </w:r>
      <w:proofErr w:type="spellEnd"/>
      <w:r w:rsidRPr="00555ABF">
        <w:rPr>
          <w:color w:val="auto"/>
        </w:rPr>
        <w:t xml:space="preserve"> и </w:t>
      </w:r>
      <w:proofErr w:type="spellStart"/>
      <w:r w:rsidRPr="00555ABF">
        <w:rPr>
          <w:color w:val="auto"/>
        </w:rPr>
        <w:t>инвестиције</w:t>
      </w:r>
      <w:proofErr w:type="spellEnd"/>
      <w:r w:rsidRPr="00555ABF">
        <w:rPr>
          <w:color w:val="auto"/>
        </w:rPr>
        <w:t xml:space="preserve"> у </w:t>
      </w:r>
      <w:proofErr w:type="spellStart"/>
      <w:r w:rsidRPr="00555ABF">
        <w:rPr>
          <w:color w:val="auto"/>
        </w:rPr>
        <w:t>локалну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инфраструктуру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опредељена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средства</w:t>
      </w:r>
      <w:proofErr w:type="spellEnd"/>
      <w:r w:rsidRPr="00555ABF">
        <w:rPr>
          <w:color w:val="auto"/>
        </w:rPr>
        <w:t xml:space="preserve"> </w:t>
      </w:r>
      <w:proofErr w:type="spellStart"/>
      <w:r w:rsidRPr="00555ABF">
        <w:rPr>
          <w:color w:val="auto"/>
        </w:rPr>
        <w:t>чине</w:t>
      </w:r>
      <w:proofErr w:type="spellEnd"/>
      <w:r w:rsidRPr="00555ABF">
        <w:rPr>
          <w:color w:val="auto"/>
        </w:rPr>
        <w:t xml:space="preserve"> 4,3% БДП-а у 2020. </w:t>
      </w:r>
      <w:proofErr w:type="spellStart"/>
      <w:r w:rsidRPr="00555ABF">
        <w:rPr>
          <w:color w:val="auto"/>
        </w:rPr>
        <w:t>години</w:t>
      </w:r>
      <w:proofErr w:type="spellEnd"/>
      <w:r w:rsidRPr="00555ABF">
        <w:rPr>
          <w:color w:val="auto"/>
        </w:rPr>
        <w:t xml:space="preserve">. </w:t>
      </w:r>
    </w:p>
    <w:p w:rsidR="00755B90" w:rsidRPr="00AA0E63" w:rsidRDefault="00555ABF" w:rsidP="00AA0E63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Макроекономским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пројекцијама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предвиђена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кумулативна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стопа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реалног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раста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БДП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12,5%,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заснована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свега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повећању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домаће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тражње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извор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раста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детерминисан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истрајним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растом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инвестиција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растом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потрошње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услед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повећања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животног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стандарда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становништва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>.</w:t>
      </w:r>
      <w:r w:rsidRPr="00AA0E63">
        <w:rPr>
          <w:rFonts w:ascii="Times New Roman" w:hAnsi="Times New Roman" w:cs="Times New Roman"/>
          <w:sz w:val="23"/>
          <w:szCs w:val="23"/>
        </w:rPr>
        <w:t xml:space="preserve"> </w:t>
      </w:r>
      <w:r w:rsidR="00755B90" w:rsidRPr="00AA0E63">
        <w:rPr>
          <w:rFonts w:ascii="Times New Roman" w:hAnsi="Times New Roman" w:cs="Times New Roman"/>
          <w:sz w:val="24"/>
          <w:szCs w:val="24"/>
          <w:lang w:val="sr-Cyrl-CS"/>
        </w:rPr>
        <w:t>Основне макроеконом</w:t>
      </w:r>
      <w:r w:rsidR="00DE35A2" w:rsidRPr="00AA0E63">
        <w:rPr>
          <w:rFonts w:ascii="Times New Roman" w:hAnsi="Times New Roman" w:cs="Times New Roman"/>
          <w:sz w:val="24"/>
          <w:szCs w:val="24"/>
          <w:lang w:val="sr-Cyrl-CS"/>
        </w:rPr>
        <w:t>ске претпоставке за период  201</w:t>
      </w:r>
      <w:r w:rsidR="002D08BC" w:rsidRPr="00AA0E6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755B90" w:rsidRPr="00AA0E63">
        <w:rPr>
          <w:rFonts w:ascii="Times New Roman" w:hAnsi="Times New Roman" w:cs="Times New Roman"/>
          <w:sz w:val="24"/>
          <w:szCs w:val="24"/>
          <w:lang w:val="sr-Cyrl-CS"/>
        </w:rPr>
        <w:t>.-202</w:t>
      </w:r>
      <w:r w:rsidR="002D08BC" w:rsidRPr="00AA0E63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755B90" w:rsidRPr="00AA0E63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</w:p>
    <w:p w:rsidR="00E9184F" w:rsidRPr="00AA0E63" w:rsidRDefault="00E9184F" w:rsidP="00E918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84F" w:rsidRPr="00AA0E63" w:rsidRDefault="00E9184F" w:rsidP="00E918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8114" w:type="dxa"/>
        <w:tblInd w:w="392" w:type="dxa"/>
        <w:tblLook w:val="04A0" w:firstRow="1" w:lastRow="0" w:firstColumn="1" w:lastColumn="0" w:noHBand="0" w:noVBand="1"/>
      </w:tblPr>
      <w:tblGrid>
        <w:gridCol w:w="5279"/>
        <w:gridCol w:w="709"/>
        <w:gridCol w:w="708"/>
        <w:gridCol w:w="709"/>
        <w:gridCol w:w="709"/>
      </w:tblGrid>
      <w:tr w:rsidR="002D08BC" w:rsidRPr="00AA0E63" w:rsidTr="00651A92">
        <w:trPr>
          <w:trHeight w:val="300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Исказано</w:t>
            </w:r>
            <w:proofErr w:type="spellEnd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у </w:t>
            </w: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процентима</w:t>
            </w:r>
            <w:proofErr w:type="spellEnd"/>
            <w:r w:rsidR="00EF1F1E"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осим</w:t>
            </w:r>
            <w:proofErr w:type="spellEnd"/>
            <w:r w:rsidR="00EF1F1E"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ако</w:t>
            </w:r>
            <w:proofErr w:type="spellEnd"/>
            <w:r w:rsidR="00EF1F1E"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ниј</w:t>
            </w:r>
            <w:proofErr w:type="spellEnd"/>
            <w:r w:rsidR="00EF1F1E"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едругачије</w:t>
            </w:r>
            <w:proofErr w:type="spellEnd"/>
            <w:r w:rsidR="00EF1F1E"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назначено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201</w:t>
            </w:r>
            <w:r w:rsidR="00762F1D"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</w:t>
            </w:r>
            <w:r w:rsidR="00762F1D"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</w:t>
            </w:r>
            <w:r w:rsidR="00762F1D"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</w:t>
            </w:r>
            <w:r w:rsidR="00762F1D"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22</w:t>
            </w:r>
          </w:p>
        </w:tc>
      </w:tr>
      <w:tr w:rsidR="002D08BC" w:rsidRPr="00AA0E63" w:rsidTr="00651A92">
        <w:trPr>
          <w:trHeight w:val="300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8BC" w:rsidRPr="00AA0E63" w:rsidTr="00651A92">
        <w:trPr>
          <w:trHeight w:val="300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Стопареалнограста</w:t>
            </w:r>
            <w:proofErr w:type="spellEnd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БДП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</w:t>
            </w:r>
          </w:p>
        </w:tc>
      </w:tr>
      <w:tr w:rsidR="002D08BC" w:rsidRPr="00AA0E63" w:rsidTr="00651A92">
        <w:trPr>
          <w:trHeight w:val="300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8BC" w:rsidRPr="00AA0E63" w:rsidTr="00651A92">
        <w:trPr>
          <w:trHeight w:val="300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БДП у </w:t>
            </w: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текућимтржишнимценама</w:t>
            </w:r>
            <w:proofErr w:type="spellEnd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(у </w:t>
            </w: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млрд</w:t>
            </w:r>
            <w:proofErr w:type="spellEnd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РСД)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5408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5819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6252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6713</w:t>
            </w:r>
          </w:p>
        </w:tc>
      </w:tr>
      <w:tr w:rsidR="002D08BC" w:rsidRPr="00AA0E63" w:rsidTr="00651A92">
        <w:trPr>
          <w:trHeight w:val="300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8BC" w:rsidRPr="00AA0E63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A0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Извори</w:t>
            </w:r>
            <w:proofErr w:type="spellEnd"/>
            <w:r w:rsidR="00EF1F1E" w:rsidRPr="00AA0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A0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раста</w:t>
            </w:r>
            <w:proofErr w:type="spellEnd"/>
            <w:r w:rsidRPr="00AA0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AA0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процентнепромене</w:t>
            </w:r>
            <w:proofErr w:type="spellEnd"/>
            <w:r w:rsidRPr="00AA0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у </w:t>
            </w:r>
            <w:proofErr w:type="spellStart"/>
            <w:r w:rsidRPr="00AA0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сталнимценама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A0E63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A0E63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A0E63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A0E63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2D08BC" w:rsidRPr="00AA0E63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8BC" w:rsidRPr="00AA0E63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Личнапотрошња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3,1</w:t>
            </w:r>
          </w:p>
        </w:tc>
      </w:tr>
      <w:tr w:rsidR="002D08BC" w:rsidRPr="00AA0E63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8BC" w:rsidRPr="00AA0E63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Државнапотрошња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2,7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FFFFFF"/>
            <w:vAlign w:val="bottom"/>
            <w:hideMark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1,2</w:t>
            </w:r>
          </w:p>
        </w:tc>
      </w:tr>
      <w:tr w:rsidR="002D08BC" w:rsidRPr="00AA0E63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8BC" w:rsidRPr="00AA0E63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Инвестиције</w:t>
            </w:r>
            <w:proofErr w:type="spellEnd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у </w:t>
            </w: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фиксни</w:t>
            </w:r>
            <w:proofErr w:type="spellEnd"/>
            <w:r w:rsidR="00762F1D"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капитал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7,1</w:t>
            </w:r>
          </w:p>
        </w:tc>
      </w:tr>
      <w:tr w:rsidR="002D08BC" w:rsidRPr="00AA0E63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8BC" w:rsidRPr="00AA0E63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Извоз</w:t>
            </w:r>
            <w:proofErr w:type="spellEnd"/>
            <w:r w:rsidR="00762F1D"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роба</w:t>
            </w:r>
            <w:proofErr w:type="spellEnd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услуга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7,4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FFFFFF"/>
            <w:vAlign w:val="bottom"/>
            <w:hideMark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9,1</w:t>
            </w:r>
          </w:p>
        </w:tc>
      </w:tr>
      <w:tr w:rsidR="002D08BC" w:rsidRPr="00AA0E63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8BC" w:rsidRPr="00AA0E63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Увоз</w:t>
            </w:r>
            <w:proofErr w:type="spellEnd"/>
            <w:r w:rsidR="00762F1D"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роба</w:t>
            </w:r>
            <w:proofErr w:type="spellEnd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услуга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7</w:t>
            </w:r>
            <w:r w:rsidR="00F8180B"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7,7</w:t>
            </w:r>
          </w:p>
        </w:tc>
      </w:tr>
      <w:tr w:rsidR="002D08BC" w:rsidRPr="00AA0E63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8BC" w:rsidRPr="00AA0E63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A0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Допринос</w:t>
            </w:r>
            <w:proofErr w:type="spellEnd"/>
            <w:r w:rsidR="00EF1F1E" w:rsidRPr="00AA0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A0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расту</w:t>
            </w:r>
            <w:proofErr w:type="spellEnd"/>
            <w:r w:rsidRPr="00AA0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БДП, </w:t>
            </w:r>
            <w:proofErr w:type="spellStart"/>
            <w:r w:rsidRPr="00AA0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п.п</w:t>
            </w:r>
            <w:proofErr w:type="spellEnd"/>
            <w:r w:rsidRPr="00AA0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A0E63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A0E63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A0E63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</w:rPr>
            </w:pPr>
            <w:r w:rsidRPr="00AA0E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08BC" w:rsidRPr="00AA0E63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8BC" w:rsidRPr="00AA0E63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Домаћа</w:t>
            </w:r>
            <w:proofErr w:type="spellEnd"/>
            <w:r w:rsidR="00762F1D"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тражња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4,3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</w:t>
            </w:r>
            <w:r w:rsidR="00762F1D"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3,8</w:t>
            </w:r>
          </w:p>
        </w:tc>
      </w:tr>
      <w:tr w:rsidR="002D08BC" w:rsidRPr="00AA0E63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8BC" w:rsidRPr="00AA0E63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Инвестициона</w:t>
            </w:r>
            <w:proofErr w:type="spellEnd"/>
            <w:r w:rsidR="00762F1D"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потрошња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="00762F1D"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</w:t>
            </w:r>
            <w:r w:rsidR="00762F1D"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5</w:t>
            </w:r>
          </w:p>
        </w:tc>
      </w:tr>
      <w:tr w:rsidR="002D08BC" w:rsidRPr="00AA0E63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63" w:rsidRPr="00AA0E63" w:rsidTr="00762F1D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Лична</w:t>
            </w:r>
            <w:proofErr w:type="spellEnd"/>
            <w:r w:rsidR="00762F1D"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потрошња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2,4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2,1</w:t>
            </w:r>
          </w:p>
        </w:tc>
      </w:tr>
      <w:tr w:rsidR="002D08BC" w:rsidRPr="00AA0E63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63" w:rsidRPr="00AA0E63" w:rsidTr="00762F1D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Државна</w:t>
            </w:r>
            <w:proofErr w:type="spellEnd"/>
            <w:r w:rsidR="00762F1D"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потрошња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FFFFFF"/>
            <w:vAlign w:val="bottom"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0,2</w:t>
            </w:r>
          </w:p>
        </w:tc>
      </w:tr>
      <w:tr w:rsidR="00AA0E63" w:rsidRPr="00AA0E63" w:rsidTr="00762F1D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63" w:rsidRPr="00AA0E63" w:rsidTr="00762F1D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Спољно-трговински</w:t>
            </w:r>
            <w:proofErr w:type="spellEnd"/>
            <w:r w:rsidR="00762F1D"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биланс</w:t>
            </w:r>
            <w:proofErr w:type="spellEnd"/>
            <w:r w:rsidR="00762F1D"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роба</w:t>
            </w:r>
            <w:proofErr w:type="spellEnd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услуга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-0,8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0,2</w:t>
            </w:r>
          </w:p>
        </w:tc>
      </w:tr>
      <w:tr w:rsidR="002D08BC" w:rsidRPr="00AA0E63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8BC" w:rsidRPr="00AA0E63" w:rsidTr="00651A92">
        <w:trPr>
          <w:trHeight w:val="300"/>
        </w:trPr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A0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Кретање</w:t>
            </w:r>
            <w:proofErr w:type="spellEnd"/>
            <w:r w:rsidR="00EF1F1E" w:rsidRPr="00AA0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A0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A0E63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A0E63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A0E63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</w:rPr>
            </w:pPr>
            <w:r w:rsidRPr="00AA0E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08BC" w:rsidRPr="00AA0E63" w:rsidTr="00651A92">
        <w:trPr>
          <w:trHeight w:val="31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63" w:rsidRPr="00AA0E63" w:rsidTr="00762F1D">
        <w:trPr>
          <w:trHeight w:val="300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Потрошачке</w:t>
            </w:r>
            <w:proofErr w:type="spellEnd"/>
            <w:r w:rsidR="00762F1D"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цене</w:t>
            </w:r>
            <w:proofErr w:type="spellEnd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годишњипросек</w:t>
            </w:r>
            <w:proofErr w:type="spellEnd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2,2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2,8</w:t>
            </w:r>
          </w:p>
        </w:tc>
      </w:tr>
      <w:tr w:rsidR="00AA0E63" w:rsidRPr="00AA0E63" w:rsidTr="00762F1D">
        <w:trPr>
          <w:trHeight w:val="31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63" w:rsidRPr="00AA0E63" w:rsidTr="00762F1D">
        <w:trPr>
          <w:trHeight w:val="300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Потрошачкецене</w:t>
            </w:r>
            <w:proofErr w:type="spellEnd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крајпериода</w:t>
            </w:r>
            <w:proofErr w:type="spellEnd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2,1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3,0</w:t>
            </w:r>
          </w:p>
        </w:tc>
      </w:tr>
      <w:tr w:rsidR="00AA0E63" w:rsidRPr="00AA0E63" w:rsidTr="00762F1D">
        <w:trPr>
          <w:trHeight w:val="31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63" w:rsidRPr="00AA0E63" w:rsidTr="00762F1D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Дефлатор</w:t>
            </w:r>
            <w:proofErr w:type="spellEnd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БДП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3,3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3,2</w:t>
            </w:r>
          </w:p>
        </w:tc>
      </w:tr>
      <w:tr w:rsidR="002D08BC" w:rsidRPr="00AA0E63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8BC" w:rsidRPr="00AA0E63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A0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Кретања</w:t>
            </w:r>
            <w:proofErr w:type="spellEnd"/>
            <w:r w:rsidRPr="00AA0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у </w:t>
            </w:r>
            <w:proofErr w:type="spellStart"/>
            <w:r w:rsidRPr="00AA0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спољномсектору</w:t>
            </w:r>
            <w:proofErr w:type="spellEnd"/>
            <w:r w:rsidRPr="00AA0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(%БДП)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A0E63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A0E63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80B" w:rsidRPr="00AA0E63" w:rsidRDefault="00F8180B" w:rsidP="00651A9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A0E63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</w:rPr>
            </w:pPr>
            <w:r w:rsidRPr="00AA0E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08BC" w:rsidRPr="00AA0E63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8180B" w:rsidRPr="00AA0E63" w:rsidRDefault="00F8180B" w:rsidP="00651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63" w:rsidRPr="00AA0E63" w:rsidTr="00762F1D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Спољнотрговинскибилансроба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-12,4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-11,8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-11,4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-11,0</w:t>
            </w:r>
          </w:p>
        </w:tc>
      </w:tr>
      <w:tr w:rsidR="00AA0E63" w:rsidRPr="00AA0E63" w:rsidTr="00762F1D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63" w:rsidRPr="00AA0E63" w:rsidTr="00762F1D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Спољнотрговински</w:t>
            </w:r>
            <w:proofErr w:type="spellEnd"/>
            <w:r w:rsidR="00762F1D"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биланс</w:t>
            </w:r>
            <w:proofErr w:type="spellEnd"/>
            <w:r w:rsidR="00762F1D"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услуга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2,8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3,2</w:t>
            </w:r>
          </w:p>
        </w:tc>
      </w:tr>
      <w:tr w:rsidR="00AA0E63" w:rsidRPr="00AA0E63" w:rsidTr="00762F1D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63" w:rsidRPr="00AA0E63" w:rsidTr="00762F1D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Салдо</w:t>
            </w:r>
            <w:proofErr w:type="spellEnd"/>
            <w:r w:rsidR="00762F1D"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текућег</w:t>
            </w:r>
            <w:proofErr w:type="spellEnd"/>
            <w:r w:rsidR="00762F1D"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рачуна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-5,1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-4,7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-4,4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-4,3</w:t>
            </w:r>
          </w:p>
        </w:tc>
      </w:tr>
      <w:tr w:rsidR="00AA0E63" w:rsidRPr="00AA0E63" w:rsidTr="00762F1D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63" w:rsidRPr="00AA0E63" w:rsidTr="00762F1D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Директнеинвестиције</w:t>
            </w:r>
            <w:proofErr w:type="spellEnd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</w:t>
            </w:r>
            <w:proofErr w:type="spellStart"/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нето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5,3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4,5</w:t>
            </w:r>
          </w:p>
        </w:tc>
      </w:tr>
      <w:tr w:rsidR="002D08BC" w:rsidRPr="00AA0E63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8BC" w:rsidRPr="00AA0E63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A0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Јавне</w:t>
            </w:r>
            <w:proofErr w:type="spellEnd"/>
            <w:r w:rsidR="00EF1F1E" w:rsidRPr="00AA0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A0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финансије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A0E63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A0E63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180B" w:rsidRPr="00AA0E63" w:rsidRDefault="00F8180B" w:rsidP="00651A9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A0E63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</w:rPr>
            </w:pPr>
            <w:r w:rsidRPr="00AA0E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08BC" w:rsidRPr="00AA0E63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180B" w:rsidRPr="00AA0E63" w:rsidRDefault="00F8180B" w:rsidP="00651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63" w:rsidRPr="00AA0E63" w:rsidTr="00762F1D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AA0E63" w:rsidP="00651A9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Фискални резултат опште државе</w:t>
            </w:r>
            <w:r w:rsidR="00F8180B"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(% БДП)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-0,5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-0,5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-0,5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8180B" w:rsidRPr="00AA0E63" w:rsidRDefault="00762F1D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AA0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-0,5</w:t>
            </w:r>
          </w:p>
        </w:tc>
      </w:tr>
      <w:tr w:rsidR="002D08BC" w:rsidRPr="00AA0E63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180B" w:rsidRPr="00AA0E63" w:rsidRDefault="00F8180B" w:rsidP="00651A9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0E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1547C7" w:rsidRPr="002D08BC" w:rsidRDefault="001547C7" w:rsidP="001547C7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FF0000"/>
          <w:sz w:val="20"/>
          <w:szCs w:val="20"/>
          <w:lang w:val="sr-Cyrl-CS"/>
        </w:rPr>
      </w:pPr>
    </w:p>
    <w:p w:rsidR="001547C7" w:rsidRPr="002D08BC" w:rsidRDefault="001547C7" w:rsidP="001547C7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FF0000"/>
          <w:sz w:val="20"/>
          <w:szCs w:val="20"/>
          <w:lang w:val="sr-Cyrl-CS"/>
        </w:rPr>
      </w:pPr>
    </w:p>
    <w:p w:rsidR="00AA0E63" w:rsidRPr="00AA0E63" w:rsidRDefault="00AA0E63" w:rsidP="00AA0E63">
      <w:pPr>
        <w:pStyle w:val="Default"/>
        <w:ind w:firstLine="708"/>
        <w:rPr>
          <w:rFonts w:ascii="Calibri" w:hAnsi="Calibri" w:cs="Calibri"/>
        </w:rPr>
      </w:pPr>
      <w:r w:rsidRPr="00AA0E63">
        <w:t xml:space="preserve">У </w:t>
      </w:r>
      <w:proofErr w:type="spellStart"/>
      <w:r w:rsidRPr="00AA0E63">
        <w:t>складу</w:t>
      </w:r>
      <w:proofErr w:type="spellEnd"/>
      <w:r w:rsidRPr="00AA0E63">
        <w:t xml:space="preserve"> </w:t>
      </w:r>
      <w:proofErr w:type="spellStart"/>
      <w:r w:rsidRPr="00AA0E63">
        <w:t>са</w:t>
      </w:r>
      <w:proofErr w:type="spellEnd"/>
      <w:r w:rsidRPr="00AA0E63">
        <w:t xml:space="preserve"> </w:t>
      </w:r>
      <w:proofErr w:type="spellStart"/>
      <w:r w:rsidRPr="00AA0E63">
        <w:t>напред</w:t>
      </w:r>
      <w:proofErr w:type="spellEnd"/>
      <w:r w:rsidRPr="00AA0E63">
        <w:t xml:space="preserve"> </w:t>
      </w:r>
      <w:proofErr w:type="spellStart"/>
      <w:r w:rsidRPr="00AA0E63">
        <w:t>наведеним</w:t>
      </w:r>
      <w:proofErr w:type="spellEnd"/>
      <w:r w:rsidRPr="00AA0E63">
        <w:t xml:space="preserve"> </w:t>
      </w:r>
      <w:proofErr w:type="spellStart"/>
      <w:r w:rsidRPr="00AA0E63">
        <w:t>макроекономским</w:t>
      </w:r>
      <w:proofErr w:type="spellEnd"/>
      <w:r w:rsidRPr="00AA0E63">
        <w:t xml:space="preserve"> </w:t>
      </w:r>
      <w:proofErr w:type="spellStart"/>
      <w:r w:rsidRPr="00AA0E63">
        <w:t>показатељима</w:t>
      </w:r>
      <w:proofErr w:type="spellEnd"/>
      <w:r w:rsidRPr="00AA0E63">
        <w:t xml:space="preserve"> </w:t>
      </w:r>
      <w:proofErr w:type="spellStart"/>
      <w:r w:rsidRPr="00AA0E63">
        <w:t>локална</w:t>
      </w:r>
      <w:proofErr w:type="spellEnd"/>
      <w:r w:rsidRPr="00AA0E63">
        <w:t xml:space="preserve"> </w:t>
      </w:r>
      <w:proofErr w:type="spellStart"/>
      <w:r w:rsidRPr="00AA0E63">
        <w:t>власт</w:t>
      </w:r>
      <w:proofErr w:type="spellEnd"/>
      <w:r w:rsidRPr="00AA0E63">
        <w:t xml:space="preserve"> </w:t>
      </w:r>
      <w:proofErr w:type="spellStart"/>
      <w:r w:rsidRPr="00AA0E63">
        <w:t>је</w:t>
      </w:r>
      <w:proofErr w:type="spellEnd"/>
      <w:r w:rsidRPr="00AA0E63">
        <w:t xml:space="preserve"> </w:t>
      </w:r>
      <w:r w:rsidRPr="00AA0E63">
        <w:rPr>
          <w:b/>
          <w:bCs/>
        </w:rPr>
        <w:t xml:space="preserve">у </w:t>
      </w:r>
      <w:proofErr w:type="spellStart"/>
      <w:r w:rsidRPr="00AA0E63">
        <w:rPr>
          <w:b/>
          <w:bCs/>
        </w:rPr>
        <w:t>обавези</w:t>
      </w:r>
      <w:proofErr w:type="spellEnd"/>
      <w:r w:rsidRPr="00AA0E63">
        <w:rPr>
          <w:b/>
          <w:bCs/>
        </w:rPr>
        <w:t xml:space="preserve"> </w:t>
      </w:r>
      <w:proofErr w:type="spellStart"/>
      <w:r w:rsidRPr="00AA0E63">
        <w:rPr>
          <w:b/>
          <w:bCs/>
        </w:rPr>
        <w:t>да</w:t>
      </w:r>
      <w:proofErr w:type="spellEnd"/>
      <w:r w:rsidRPr="00AA0E63">
        <w:rPr>
          <w:b/>
          <w:bCs/>
        </w:rPr>
        <w:t xml:space="preserve"> </w:t>
      </w:r>
      <w:proofErr w:type="spellStart"/>
      <w:r w:rsidRPr="00AA0E63">
        <w:rPr>
          <w:b/>
          <w:bCs/>
        </w:rPr>
        <w:t>реално</w:t>
      </w:r>
      <w:proofErr w:type="spellEnd"/>
      <w:r w:rsidRPr="00AA0E63">
        <w:rPr>
          <w:b/>
          <w:bCs/>
        </w:rPr>
        <w:t xml:space="preserve"> </w:t>
      </w:r>
      <w:proofErr w:type="spellStart"/>
      <w:r w:rsidRPr="00AA0E63">
        <w:rPr>
          <w:b/>
          <w:bCs/>
        </w:rPr>
        <w:t>планира</w:t>
      </w:r>
      <w:proofErr w:type="spellEnd"/>
      <w:r w:rsidRPr="00AA0E63">
        <w:rPr>
          <w:b/>
          <w:bCs/>
        </w:rPr>
        <w:t xml:space="preserve"> </w:t>
      </w:r>
      <w:proofErr w:type="spellStart"/>
      <w:r w:rsidRPr="00AA0E63">
        <w:rPr>
          <w:b/>
          <w:bCs/>
        </w:rPr>
        <w:t>своје</w:t>
      </w:r>
      <w:proofErr w:type="spellEnd"/>
      <w:r w:rsidRPr="00AA0E63">
        <w:rPr>
          <w:b/>
          <w:bCs/>
        </w:rPr>
        <w:t xml:space="preserve"> </w:t>
      </w:r>
      <w:proofErr w:type="spellStart"/>
      <w:r w:rsidRPr="00AA0E63">
        <w:rPr>
          <w:b/>
          <w:bCs/>
        </w:rPr>
        <w:t>приходе</w:t>
      </w:r>
      <w:proofErr w:type="spellEnd"/>
      <w:r w:rsidRPr="00AA0E63">
        <w:rPr>
          <w:b/>
          <w:bCs/>
        </w:rPr>
        <w:t xml:space="preserve"> </w:t>
      </w:r>
      <w:proofErr w:type="spellStart"/>
      <w:r w:rsidRPr="00AA0E63">
        <w:rPr>
          <w:b/>
          <w:bCs/>
        </w:rPr>
        <w:t>буџета</w:t>
      </w:r>
      <w:proofErr w:type="spellEnd"/>
      <w:r w:rsidRPr="00AA0E63">
        <w:rPr>
          <w:b/>
          <w:bCs/>
        </w:rPr>
        <w:t xml:space="preserve">. </w:t>
      </w:r>
      <w:proofErr w:type="spellStart"/>
      <w:r w:rsidRPr="00AA0E63">
        <w:t>Наиме</w:t>
      </w:r>
      <w:proofErr w:type="spellEnd"/>
      <w:r w:rsidRPr="00AA0E63">
        <w:t xml:space="preserve">, </w:t>
      </w:r>
      <w:proofErr w:type="spellStart"/>
      <w:r w:rsidRPr="00AA0E63">
        <w:t>приликом</w:t>
      </w:r>
      <w:proofErr w:type="spellEnd"/>
      <w:r w:rsidRPr="00AA0E63">
        <w:t xml:space="preserve"> </w:t>
      </w:r>
      <w:proofErr w:type="spellStart"/>
      <w:r w:rsidRPr="00AA0E63">
        <w:t>планирања</w:t>
      </w:r>
      <w:proofErr w:type="spellEnd"/>
      <w:r w:rsidRPr="00AA0E63">
        <w:t xml:space="preserve"> </w:t>
      </w:r>
      <w:proofErr w:type="spellStart"/>
      <w:r w:rsidRPr="00AA0E63">
        <w:t>прихода</w:t>
      </w:r>
      <w:proofErr w:type="spellEnd"/>
      <w:r w:rsidRPr="00AA0E63">
        <w:t xml:space="preserve"> </w:t>
      </w:r>
      <w:proofErr w:type="spellStart"/>
      <w:r w:rsidRPr="00AA0E63">
        <w:t>потребно</w:t>
      </w:r>
      <w:proofErr w:type="spellEnd"/>
      <w:r w:rsidRPr="00AA0E63">
        <w:t xml:space="preserve"> </w:t>
      </w:r>
      <w:proofErr w:type="spellStart"/>
      <w:r w:rsidRPr="00AA0E63">
        <w:t>је</w:t>
      </w:r>
      <w:proofErr w:type="spellEnd"/>
      <w:r w:rsidRPr="00AA0E63">
        <w:t xml:space="preserve"> </w:t>
      </w:r>
      <w:proofErr w:type="spellStart"/>
      <w:r w:rsidRPr="00AA0E63">
        <w:t>поћи</w:t>
      </w:r>
      <w:proofErr w:type="spellEnd"/>
      <w:r w:rsidRPr="00AA0E63">
        <w:t xml:space="preserve"> </w:t>
      </w:r>
      <w:proofErr w:type="spellStart"/>
      <w:r w:rsidRPr="00AA0E63">
        <w:t>од</w:t>
      </w:r>
      <w:proofErr w:type="spellEnd"/>
      <w:r w:rsidRPr="00AA0E63">
        <w:t xml:space="preserve"> </w:t>
      </w:r>
      <w:proofErr w:type="spellStart"/>
      <w:r w:rsidRPr="00AA0E63">
        <w:t>њиховог</w:t>
      </w:r>
      <w:proofErr w:type="spellEnd"/>
      <w:r w:rsidRPr="00AA0E63">
        <w:t xml:space="preserve"> </w:t>
      </w:r>
      <w:proofErr w:type="spellStart"/>
      <w:r w:rsidRPr="00AA0E63">
        <w:t>остварења</w:t>
      </w:r>
      <w:proofErr w:type="spellEnd"/>
      <w:r w:rsidRPr="00AA0E63">
        <w:t xml:space="preserve"> </w:t>
      </w:r>
      <w:proofErr w:type="spellStart"/>
      <w:r w:rsidRPr="00AA0E63">
        <w:t>за</w:t>
      </w:r>
      <w:proofErr w:type="spellEnd"/>
      <w:r w:rsidRPr="00AA0E63">
        <w:t xml:space="preserve"> </w:t>
      </w:r>
      <w:proofErr w:type="spellStart"/>
      <w:r w:rsidRPr="00AA0E63">
        <w:t>три</w:t>
      </w:r>
      <w:proofErr w:type="spellEnd"/>
      <w:r w:rsidRPr="00AA0E63">
        <w:t xml:space="preserve"> </w:t>
      </w:r>
      <w:proofErr w:type="spellStart"/>
      <w:r w:rsidRPr="00AA0E63">
        <w:t>квартала</w:t>
      </w:r>
      <w:proofErr w:type="spellEnd"/>
      <w:r w:rsidRPr="00AA0E63">
        <w:t xml:space="preserve"> у 2019. </w:t>
      </w:r>
      <w:proofErr w:type="spellStart"/>
      <w:r w:rsidRPr="00AA0E63">
        <w:t>години</w:t>
      </w:r>
      <w:proofErr w:type="spellEnd"/>
      <w:r w:rsidRPr="00AA0E63">
        <w:t xml:space="preserve"> и </w:t>
      </w:r>
      <w:proofErr w:type="spellStart"/>
      <w:r w:rsidRPr="00AA0E63">
        <w:t>њихове</w:t>
      </w:r>
      <w:proofErr w:type="spellEnd"/>
      <w:r w:rsidRPr="00AA0E63">
        <w:t xml:space="preserve"> </w:t>
      </w:r>
      <w:proofErr w:type="spellStart"/>
      <w:r w:rsidRPr="00AA0E63">
        <w:t>процене</w:t>
      </w:r>
      <w:proofErr w:type="spellEnd"/>
      <w:r w:rsidRPr="00AA0E63">
        <w:t xml:space="preserve"> </w:t>
      </w:r>
      <w:proofErr w:type="spellStart"/>
      <w:r w:rsidRPr="00AA0E63">
        <w:t>за</w:t>
      </w:r>
      <w:proofErr w:type="spellEnd"/>
      <w:r w:rsidRPr="00AA0E63">
        <w:t xml:space="preserve"> </w:t>
      </w:r>
      <w:proofErr w:type="spellStart"/>
      <w:r w:rsidRPr="00AA0E63">
        <w:t>задњи</w:t>
      </w:r>
      <w:proofErr w:type="spellEnd"/>
      <w:r w:rsidRPr="00AA0E63">
        <w:t xml:space="preserve"> </w:t>
      </w:r>
      <w:proofErr w:type="spellStart"/>
      <w:r w:rsidRPr="00AA0E63">
        <w:t>квартал</w:t>
      </w:r>
      <w:proofErr w:type="spellEnd"/>
      <w:r w:rsidRPr="00AA0E63">
        <w:t xml:space="preserve"> </w:t>
      </w:r>
      <w:proofErr w:type="spellStart"/>
      <w:r w:rsidRPr="00AA0E63">
        <w:t>те</w:t>
      </w:r>
      <w:proofErr w:type="spellEnd"/>
      <w:r w:rsidRPr="00AA0E63">
        <w:t xml:space="preserve"> </w:t>
      </w:r>
      <w:proofErr w:type="spellStart"/>
      <w:r w:rsidRPr="00AA0E63">
        <w:t>године</w:t>
      </w:r>
      <w:proofErr w:type="spellEnd"/>
      <w:r w:rsidRPr="00AA0E63">
        <w:t xml:space="preserve">, </w:t>
      </w:r>
      <w:proofErr w:type="spellStart"/>
      <w:r w:rsidRPr="00AA0E63">
        <w:t>што</w:t>
      </w:r>
      <w:proofErr w:type="spellEnd"/>
      <w:r w:rsidRPr="00AA0E63">
        <w:t xml:space="preserve"> </w:t>
      </w:r>
      <w:proofErr w:type="spellStart"/>
      <w:r w:rsidRPr="00AA0E63">
        <w:t>представља</w:t>
      </w:r>
      <w:proofErr w:type="spellEnd"/>
      <w:r w:rsidRPr="00AA0E63">
        <w:t xml:space="preserve"> </w:t>
      </w:r>
      <w:proofErr w:type="spellStart"/>
      <w:r w:rsidRPr="00AA0E63">
        <w:t>основ</w:t>
      </w:r>
      <w:proofErr w:type="spellEnd"/>
      <w:r w:rsidRPr="00AA0E63">
        <w:t xml:space="preserve"> </w:t>
      </w:r>
      <w:proofErr w:type="spellStart"/>
      <w:r w:rsidRPr="00AA0E63">
        <w:t>за</w:t>
      </w:r>
      <w:proofErr w:type="spellEnd"/>
      <w:r w:rsidRPr="00AA0E63">
        <w:t xml:space="preserve"> </w:t>
      </w:r>
      <w:proofErr w:type="spellStart"/>
      <w:r w:rsidRPr="00AA0E63">
        <w:t>примену</w:t>
      </w:r>
      <w:proofErr w:type="spellEnd"/>
      <w:r w:rsidRPr="00AA0E63">
        <w:t xml:space="preserve"> </w:t>
      </w:r>
      <w:proofErr w:type="spellStart"/>
      <w:r w:rsidRPr="00AA0E63">
        <w:t>горе</w:t>
      </w:r>
      <w:proofErr w:type="spellEnd"/>
      <w:r w:rsidRPr="00AA0E63">
        <w:t xml:space="preserve"> </w:t>
      </w:r>
      <w:proofErr w:type="spellStart"/>
      <w:r w:rsidRPr="00AA0E63">
        <w:t>наведених</w:t>
      </w:r>
      <w:proofErr w:type="spellEnd"/>
      <w:r w:rsidRPr="00AA0E63">
        <w:t xml:space="preserve"> </w:t>
      </w:r>
      <w:proofErr w:type="spellStart"/>
      <w:r w:rsidRPr="00AA0E63">
        <w:t>макроекономских</w:t>
      </w:r>
      <w:proofErr w:type="spellEnd"/>
      <w:r w:rsidRPr="00AA0E63">
        <w:t xml:space="preserve"> </w:t>
      </w:r>
      <w:proofErr w:type="spellStart"/>
      <w:r w:rsidRPr="00AA0E63">
        <w:t>параметара</w:t>
      </w:r>
      <w:proofErr w:type="spellEnd"/>
      <w:r w:rsidRPr="00AA0E63">
        <w:t xml:space="preserve">, </w:t>
      </w:r>
      <w:proofErr w:type="spellStart"/>
      <w:r w:rsidRPr="00AA0E63">
        <w:t>односно</w:t>
      </w:r>
      <w:proofErr w:type="spellEnd"/>
      <w:r w:rsidRPr="00AA0E63">
        <w:t xml:space="preserve"> </w:t>
      </w:r>
      <w:proofErr w:type="spellStart"/>
      <w:r w:rsidRPr="00AA0E63">
        <w:t>основ</w:t>
      </w:r>
      <w:proofErr w:type="spellEnd"/>
      <w:r w:rsidRPr="00AA0E63">
        <w:t xml:space="preserve"> </w:t>
      </w:r>
      <w:proofErr w:type="spellStart"/>
      <w:r w:rsidRPr="00AA0E63">
        <w:t>за</w:t>
      </w:r>
      <w:proofErr w:type="spellEnd"/>
      <w:r w:rsidRPr="00AA0E63">
        <w:t xml:space="preserve"> </w:t>
      </w:r>
      <w:proofErr w:type="spellStart"/>
      <w:r w:rsidRPr="00AA0E63">
        <w:t>њихово</w:t>
      </w:r>
      <w:proofErr w:type="spellEnd"/>
      <w:r w:rsidRPr="00AA0E63">
        <w:t xml:space="preserve"> </w:t>
      </w:r>
      <w:proofErr w:type="spellStart"/>
      <w:r w:rsidRPr="00AA0E63">
        <w:t>увећање</w:t>
      </w:r>
      <w:proofErr w:type="spellEnd"/>
      <w:r w:rsidRPr="00AA0E63">
        <w:t xml:space="preserve">, </w:t>
      </w:r>
      <w:proofErr w:type="spellStart"/>
      <w:r w:rsidRPr="00AA0E63">
        <w:t>при</w:t>
      </w:r>
      <w:proofErr w:type="spellEnd"/>
      <w:r w:rsidRPr="00AA0E63">
        <w:t xml:space="preserve"> </w:t>
      </w:r>
      <w:proofErr w:type="spellStart"/>
      <w:r w:rsidRPr="00AA0E63">
        <w:t>чему</w:t>
      </w:r>
      <w:proofErr w:type="spellEnd"/>
      <w:r w:rsidRPr="00AA0E63">
        <w:t xml:space="preserve"> </w:t>
      </w:r>
      <w:proofErr w:type="spellStart"/>
      <w:r w:rsidRPr="00AA0E63">
        <w:t>укупан</w:t>
      </w:r>
      <w:proofErr w:type="spellEnd"/>
      <w:r w:rsidRPr="00AA0E63">
        <w:t xml:space="preserve"> </w:t>
      </w:r>
      <w:proofErr w:type="spellStart"/>
      <w:r w:rsidRPr="00AA0E63">
        <w:t>раст</w:t>
      </w:r>
      <w:proofErr w:type="spellEnd"/>
      <w:r w:rsidRPr="00AA0E63">
        <w:t xml:space="preserve"> </w:t>
      </w:r>
      <w:proofErr w:type="spellStart"/>
      <w:r w:rsidRPr="00AA0E63">
        <w:t>прихода</w:t>
      </w:r>
      <w:proofErr w:type="spellEnd"/>
      <w:r w:rsidRPr="00AA0E63">
        <w:t xml:space="preserve"> </w:t>
      </w:r>
      <w:proofErr w:type="spellStart"/>
      <w:r w:rsidRPr="00AA0E63">
        <w:t>не</w:t>
      </w:r>
      <w:proofErr w:type="spellEnd"/>
      <w:r w:rsidRPr="00AA0E63">
        <w:t xml:space="preserve"> </w:t>
      </w:r>
      <w:proofErr w:type="spellStart"/>
      <w:r w:rsidRPr="00AA0E63">
        <w:t>сме</w:t>
      </w:r>
      <w:proofErr w:type="spellEnd"/>
      <w:r w:rsidRPr="00AA0E63">
        <w:t xml:space="preserve"> </w:t>
      </w:r>
      <w:proofErr w:type="spellStart"/>
      <w:r w:rsidRPr="00AA0E63">
        <w:t>да</w:t>
      </w:r>
      <w:proofErr w:type="spellEnd"/>
      <w:r w:rsidRPr="00AA0E63">
        <w:t xml:space="preserve"> </w:t>
      </w:r>
      <w:proofErr w:type="spellStart"/>
      <w:r w:rsidRPr="00AA0E63">
        <w:t>буде</w:t>
      </w:r>
      <w:proofErr w:type="spellEnd"/>
      <w:r w:rsidRPr="00AA0E63">
        <w:t xml:space="preserve"> </w:t>
      </w:r>
      <w:r w:rsidRPr="00AA0E63">
        <w:rPr>
          <w:rFonts w:ascii="Calibri" w:hAnsi="Calibri" w:cs="Calibri"/>
        </w:rPr>
        <w:t xml:space="preserve"> </w:t>
      </w:r>
    </w:p>
    <w:p w:rsidR="00AA0E63" w:rsidRPr="00AA0E63" w:rsidRDefault="00AA0E63" w:rsidP="00AA0E63">
      <w:pPr>
        <w:pStyle w:val="Default"/>
        <w:rPr>
          <w:color w:val="auto"/>
        </w:rPr>
      </w:pPr>
    </w:p>
    <w:p w:rsidR="00AA0E63" w:rsidRPr="00AA0E63" w:rsidRDefault="00AA0E63" w:rsidP="00AA0E63">
      <w:pPr>
        <w:pStyle w:val="Default"/>
        <w:pageBreakBefore/>
        <w:rPr>
          <w:color w:val="auto"/>
        </w:rPr>
      </w:pPr>
      <w:proofErr w:type="spellStart"/>
      <w:r w:rsidRPr="00AA0E63">
        <w:rPr>
          <w:color w:val="auto"/>
        </w:rPr>
        <w:lastRenderedPageBreak/>
        <w:t>већи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од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номиналног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раста</w:t>
      </w:r>
      <w:proofErr w:type="spellEnd"/>
      <w:r w:rsidRPr="00AA0E63">
        <w:rPr>
          <w:color w:val="auto"/>
        </w:rPr>
        <w:t xml:space="preserve"> БДП </w:t>
      </w:r>
      <w:r w:rsidRPr="00566B07">
        <w:rPr>
          <w:b/>
          <w:bCs/>
          <w:color w:val="auto"/>
        </w:rPr>
        <w:t>(</w:t>
      </w:r>
      <w:proofErr w:type="spellStart"/>
      <w:r w:rsidRPr="00566B07">
        <w:rPr>
          <w:b/>
          <w:bCs/>
          <w:color w:val="auto"/>
        </w:rPr>
        <w:t>пројектован</w:t>
      </w:r>
      <w:proofErr w:type="spellEnd"/>
      <w:r w:rsidRPr="00566B07">
        <w:rPr>
          <w:b/>
          <w:bCs/>
          <w:color w:val="auto"/>
        </w:rPr>
        <w:t xml:space="preserve"> </w:t>
      </w:r>
      <w:proofErr w:type="spellStart"/>
      <w:r w:rsidRPr="00566B07">
        <w:rPr>
          <w:b/>
          <w:bCs/>
          <w:color w:val="auto"/>
        </w:rPr>
        <w:t>номинални</w:t>
      </w:r>
      <w:proofErr w:type="spellEnd"/>
      <w:r w:rsidRPr="00566B07">
        <w:rPr>
          <w:b/>
          <w:bCs/>
          <w:color w:val="auto"/>
        </w:rPr>
        <w:t xml:space="preserve"> </w:t>
      </w:r>
      <w:proofErr w:type="spellStart"/>
      <w:r w:rsidRPr="00566B07">
        <w:rPr>
          <w:b/>
          <w:bCs/>
          <w:color w:val="auto"/>
        </w:rPr>
        <w:t>раст</w:t>
      </w:r>
      <w:proofErr w:type="spellEnd"/>
      <w:r w:rsidRPr="00566B07">
        <w:rPr>
          <w:b/>
          <w:bCs/>
          <w:color w:val="auto"/>
        </w:rPr>
        <w:t xml:space="preserve"> у 2020. </w:t>
      </w:r>
      <w:proofErr w:type="spellStart"/>
      <w:r w:rsidRPr="00566B07">
        <w:rPr>
          <w:b/>
          <w:bCs/>
          <w:color w:val="auto"/>
        </w:rPr>
        <w:t>години</w:t>
      </w:r>
      <w:proofErr w:type="spellEnd"/>
      <w:r w:rsidRPr="00566B07">
        <w:rPr>
          <w:b/>
          <w:bCs/>
          <w:color w:val="auto"/>
        </w:rPr>
        <w:t xml:space="preserve"> </w:t>
      </w:r>
      <w:proofErr w:type="spellStart"/>
      <w:r w:rsidRPr="00566B07">
        <w:rPr>
          <w:b/>
          <w:bCs/>
          <w:color w:val="auto"/>
        </w:rPr>
        <w:t>од</w:t>
      </w:r>
      <w:proofErr w:type="spellEnd"/>
      <w:r w:rsidRPr="00566B07">
        <w:rPr>
          <w:b/>
          <w:bCs/>
          <w:color w:val="auto"/>
        </w:rPr>
        <w:t xml:space="preserve"> 7,6%). </w:t>
      </w:r>
      <w:proofErr w:type="spellStart"/>
      <w:r w:rsidRPr="00AA0E63">
        <w:rPr>
          <w:color w:val="auto"/>
        </w:rPr>
        <w:t>Изузетно</w:t>
      </w:r>
      <w:proofErr w:type="spellEnd"/>
      <w:r w:rsidRPr="00AA0E63">
        <w:rPr>
          <w:color w:val="auto"/>
        </w:rPr>
        <w:t xml:space="preserve">, </w:t>
      </w:r>
      <w:proofErr w:type="spellStart"/>
      <w:r w:rsidRPr="00AA0E63">
        <w:rPr>
          <w:color w:val="auto"/>
        </w:rPr>
        <w:t>локална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власт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може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планирати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већи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обим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прихода</w:t>
      </w:r>
      <w:proofErr w:type="spellEnd"/>
      <w:r w:rsidRPr="00AA0E63">
        <w:rPr>
          <w:color w:val="auto"/>
        </w:rPr>
        <w:t xml:space="preserve">, с </w:t>
      </w:r>
      <w:proofErr w:type="spellStart"/>
      <w:r w:rsidRPr="00AA0E63">
        <w:rPr>
          <w:color w:val="auto"/>
        </w:rPr>
        <w:t>тим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што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је</w:t>
      </w:r>
      <w:proofErr w:type="spellEnd"/>
      <w:r w:rsidRPr="00AA0E63">
        <w:rPr>
          <w:color w:val="auto"/>
        </w:rPr>
        <w:t xml:space="preserve"> у </w:t>
      </w:r>
      <w:proofErr w:type="spellStart"/>
      <w:r w:rsidRPr="00AA0E63">
        <w:rPr>
          <w:color w:val="auto"/>
        </w:rPr>
        <w:t>том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случају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b/>
          <w:bCs/>
          <w:color w:val="auto"/>
        </w:rPr>
        <w:t>дужна</w:t>
      </w:r>
      <w:proofErr w:type="spellEnd"/>
      <w:r w:rsidRPr="00AA0E63">
        <w:rPr>
          <w:b/>
          <w:bCs/>
          <w:color w:val="auto"/>
        </w:rPr>
        <w:t xml:space="preserve"> </w:t>
      </w:r>
      <w:proofErr w:type="spellStart"/>
      <w:r w:rsidRPr="00AA0E63">
        <w:rPr>
          <w:b/>
          <w:bCs/>
          <w:color w:val="auto"/>
        </w:rPr>
        <w:t>да</w:t>
      </w:r>
      <w:proofErr w:type="spellEnd"/>
      <w:r w:rsidRPr="00AA0E63">
        <w:rPr>
          <w:b/>
          <w:bCs/>
          <w:color w:val="auto"/>
        </w:rPr>
        <w:t xml:space="preserve"> у </w:t>
      </w:r>
      <w:proofErr w:type="spellStart"/>
      <w:r w:rsidRPr="00AA0E63">
        <w:rPr>
          <w:b/>
          <w:bCs/>
          <w:color w:val="auto"/>
        </w:rPr>
        <w:t>образложењу</w:t>
      </w:r>
      <w:proofErr w:type="spellEnd"/>
      <w:r w:rsidRPr="00AA0E63">
        <w:rPr>
          <w:b/>
          <w:bCs/>
          <w:color w:val="auto"/>
        </w:rPr>
        <w:t xml:space="preserve"> </w:t>
      </w:r>
      <w:proofErr w:type="spellStart"/>
      <w:r w:rsidRPr="00AA0E63">
        <w:rPr>
          <w:b/>
          <w:bCs/>
          <w:color w:val="auto"/>
        </w:rPr>
        <w:t>одлуке</w:t>
      </w:r>
      <w:proofErr w:type="spellEnd"/>
      <w:r w:rsidRPr="00AA0E63">
        <w:rPr>
          <w:b/>
          <w:bCs/>
          <w:color w:val="auto"/>
        </w:rPr>
        <w:t xml:space="preserve"> о </w:t>
      </w:r>
      <w:proofErr w:type="spellStart"/>
      <w:r w:rsidRPr="00AA0E63">
        <w:rPr>
          <w:b/>
          <w:bCs/>
          <w:color w:val="auto"/>
        </w:rPr>
        <w:t>буџету</w:t>
      </w:r>
      <w:proofErr w:type="spellEnd"/>
      <w:r w:rsidRPr="00AA0E63">
        <w:rPr>
          <w:b/>
          <w:bCs/>
          <w:color w:val="auto"/>
        </w:rPr>
        <w:t xml:space="preserve"> </w:t>
      </w:r>
      <w:proofErr w:type="spellStart"/>
      <w:r w:rsidRPr="00AA0E63">
        <w:rPr>
          <w:b/>
          <w:bCs/>
          <w:color w:val="auto"/>
        </w:rPr>
        <w:t>наведе</w:t>
      </w:r>
      <w:proofErr w:type="spellEnd"/>
      <w:r w:rsidRPr="00AA0E63">
        <w:rPr>
          <w:b/>
          <w:bCs/>
          <w:color w:val="auto"/>
        </w:rPr>
        <w:t xml:space="preserve"> </w:t>
      </w:r>
      <w:proofErr w:type="spellStart"/>
      <w:r w:rsidRPr="00AA0E63">
        <w:rPr>
          <w:b/>
          <w:bCs/>
          <w:color w:val="auto"/>
        </w:rPr>
        <w:t>разлоге</w:t>
      </w:r>
      <w:proofErr w:type="spellEnd"/>
      <w:r w:rsidRPr="00AA0E63">
        <w:rPr>
          <w:b/>
          <w:bCs/>
          <w:color w:val="auto"/>
        </w:rPr>
        <w:t xml:space="preserve"> </w:t>
      </w:r>
      <w:proofErr w:type="spellStart"/>
      <w:r w:rsidRPr="00AA0E63">
        <w:rPr>
          <w:b/>
          <w:bCs/>
          <w:color w:val="auto"/>
        </w:rPr>
        <w:t>за</w:t>
      </w:r>
      <w:proofErr w:type="spellEnd"/>
      <w:r w:rsidRPr="00AA0E63">
        <w:rPr>
          <w:b/>
          <w:bCs/>
          <w:color w:val="auto"/>
        </w:rPr>
        <w:t xml:space="preserve"> </w:t>
      </w:r>
      <w:proofErr w:type="spellStart"/>
      <w:r w:rsidRPr="00AA0E63">
        <w:rPr>
          <w:b/>
          <w:bCs/>
          <w:color w:val="auto"/>
        </w:rPr>
        <w:t>такво</w:t>
      </w:r>
      <w:proofErr w:type="spellEnd"/>
      <w:r w:rsidRPr="00AA0E63">
        <w:rPr>
          <w:b/>
          <w:bCs/>
          <w:color w:val="auto"/>
        </w:rPr>
        <w:t xml:space="preserve"> </w:t>
      </w:r>
      <w:proofErr w:type="spellStart"/>
      <w:r w:rsidRPr="00AA0E63">
        <w:rPr>
          <w:b/>
          <w:bCs/>
          <w:color w:val="auto"/>
        </w:rPr>
        <w:t>поступање</w:t>
      </w:r>
      <w:proofErr w:type="spellEnd"/>
      <w:r w:rsidRPr="00AA0E63">
        <w:rPr>
          <w:b/>
          <w:bCs/>
          <w:color w:val="auto"/>
        </w:rPr>
        <w:t xml:space="preserve">, </w:t>
      </w:r>
      <w:proofErr w:type="spellStart"/>
      <w:r w:rsidRPr="00AA0E63">
        <w:rPr>
          <w:color w:val="auto"/>
        </w:rPr>
        <w:t>као</w:t>
      </w:r>
      <w:proofErr w:type="spellEnd"/>
      <w:r w:rsidRPr="00AA0E63">
        <w:rPr>
          <w:color w:val="auto"/>
        </w:rPr>
        <w:t xml:space="preserve"> и </w:t>
      </w:r>
      <w:proofErr w:type="spellStart"/>
      <w:r w:rsidRPr="00AA0E63">
        <w:rPr>
          <w:color w:val="auto"/>
        </w:rPr>
        <w:t>да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образложи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параметре</w:t>
      </w:r>
      <w:proofErr w:type="spellEnd"/>
      <w:r w:rsidRPr="00AA0E63">
        <w:rPr>
          <w:color w:val="auto"/>
        </w:rPr>
        <w:t xml:space="preserve"> (</w:t>
      </w:r>
      <w:proofErr w:type="spellStart"/>
      <w:r w:rsidRPr="00AA0E63">
        <w:rPr>
          <w:color w:val="auto"/>
        </w:rPr>
        <w:t>кретање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запослености</w:t>
      </w:r>
      <w:proofErr w:type="spellEnd"/>
      <w:r w:rsidRPr="00AA0E63">
        <w:rPr>
          <w:color w:val="auto"/>
        </w:rPr>
        <w:t xml:space="preserve">, </w:t>
      </w:r>
      <w:proofErr w:type="spellStart"/>
      <w:r w:rsidRPr="00AA0E63">
        <w:rPr>
          <w:color w:val="auto"/>
        </w:rPr>
        <w:t>просечне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зараде</w:t>
      </w:r>
      <w:proofErr w:type="spellEnd"/>
      <w:r w:rsidRPr="00AA0E63">
        <w:rPr>
          <w:color w:val="auto"/>
        </w:rPr>
        <w:t xml:space="preserve">, </w:t>
      </w:r>
      <w:proofErr w:type="spellStart"/>
      <w:r w:rsidRPr="00AA0E63">
        <w:rPr>
          <w:color w:val="auto"/>
        </w:rPr>
        <w:t>очекиване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инвестиционе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активности</w:t>
      </w:r>
      <w:proofErr w:type="spellEnd"/>
      <w:r w:rsidRPr="00AA0E63">
        <w:rPr>
          <w:color w:val="auto"/>
        </w:rPr>
        <w:t xml:space="preserve">, </w:t>
      </w:r>
      <w:proofErr w:type="spellStart"/>
      <w:r w:rsidRPr="00AA0E63">
        <w:rPr>
          <w:color w:val="auto"/>
        </w:rPr>
        <w:t>промене</w:t>
      </w:r>
      <w:proofErr w:type="spellEnd"/>
      <w:r w:rsidRPr="00AA0E63">
        <w:rPr>
          <w:color w:val="auto"/>
        </w:rPr>
        <w:t xml:space="preserve"> у </w:t>
      </w:r>
      <w:proofErr w:type="spellStart"/>
      <w:r w:rsidRPr="00AA0E63">
        <w:rPr>
          <w:color w:val="auto"/>
        </w:rPr>
        <w:t>степену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наплате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пореза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на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имовину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итд</w:t>
      </w:r>
      <w:proofErr w:type="spellEnd"/>
      <w:r w:rsidRPr="00AA0E63">
        <w:rPr>
          <w:color w:val="auto"/>
        </w:rPr>
        <w:t xml:space="preserve">.) </w:t>
      </w:r>
      <w:proofErr w:type="spellStart"/>
      <w:r w:rsidRPr="00AA0E63">
        <w:rPr>
          <w:color w:val="auto"/>
        </w:rPr>
        <w:t>коришћене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за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пројекцију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таквих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прихода</w:t>
      </w:r>
      <w:proofErr w:type="spellEnd"/>
      <w:r w:rsidRPr="00AA0E63">
        <w:rPr>
          <w:color w:val="auto"/>
        </w:rPr>
        <w:t xml:space="preserve">. </w:t>
      </w:r>
    </w:p>
    <w:p w:rsidR="00AA0E63" w:rsidRPr="00AA0E63" w:rsidRDefault="00AA0E63" w:rsidP="00AA0E63">
      <w:pPr>
        <w:pStyle w:val="Default"/>
        <w:ind w:firstLine="708"/>
        <w:rPr>
          <w:color w:val="auto"/>
        </w:rPr>
      </w:pPr>
      <w:proofErr w:type="spellStart"/>
      <w:r w:rsidRPr="00AA0E63">
        <w:rPr>
          <w:color w:val="auto"/>
        </w:rPr>
        <w:t>Уколико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локална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власт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очекује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приходе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по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основу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донација</w:t>
      </w:r>
      <w:proofErr w:type="spellEnd"/>
      <w:r w:rsidRPr="00AA0E63">
        <w:rPr>
          <w:color w:val="auto"/>
        </w:rPr>
        <w:t xml:space="preserve">, </w:t>
      </w:r>
      <w:proofErr w:type="spellStart"/>
      <w:r w:rsidRPr="00AA0E63">
        <w:rPr>
          <w:color w:val="auto"/>
        </w:rPr>
        <w:t>апропријације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прихода</w:t>
      </w:r>
      <w:proofErr w:type="spellEnd"/>
      <w:r w:rsidRPr="00AA0E63">
        <w:rPr>
          <w:color w:val="auto"/>
        </w:rPr>
        <w:t xml:space="preserve"> и </w:t>
      </w:r>
      <w:proofErr w:type="spellStart"/>
      <w:r w:rsidRPr="00AA0E63">
        <w:rPr>
          <w:color w:val="auto"/>
        </w:rPr>
        <w:t>расхода</w:t>
      </w:r>
      <w:proofErr w:type="spellEnd"/>
      <w:r w:rsidRPr="00AA0E63">
        <w:rPr>
          <w:color w:val="auto"/>
        </w:rPr>
        <w:t xml:space="preserve"> (</w:t>
      </w:r>
      <w:proofErr w:type="spellStart"/>
      <w:r w:rsidRPr="00AA0E63">
        <w:rPr>
          <w:color w:val="auto"/>
        </w:rPr>
        <w:t>извор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финансирања</w:t>
      </w:r>
      <w:proofErr w:type="spellEnd"/>
      <w:r w:rsidRPr="00AA0E63">
        <w:rPr>
          <w:color w:val="auto"/>
        </w:rPr>
        <w:t xml:space="preserve"> 05 и 06) </w:t>
      </w:r>
      <w:proofErr w:type="spellStart"/>
      <w:r w:rsidRPr="00AA0E63">
        <w:rPr>
          <w:color w:val="auto"/>
        </w:rPr>
        <w:t>може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планирати</w:t>
      </w:r>
      <w:proofErr w:type="spellEnd"/>
      <w:r w:rsidRPr="00AA0E63">
        <w:rPr>
          <w:color w:val="auto"/>
        </w:rPr>
        <w:t xml:space="preserve"> у </w:t>
      </w:r>
      <w:proofErr w:type="spellStart"/>
      <w:r w:rsidRPr="00AA0E63">
        <w:rPr>
          <w:color w:val="auto"/>
        </w:rPr>
        <w:t>складу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са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очекиваним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износом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ових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средстава</w:t>
      </w:r>
      <w:proofErr w:type="spellEnd"/>
      <w:r w:rsidRPr="00AA0E63">
        <w:rPr>
          <w:color w:val="auto"/>
        </w:rPr>
        <w:t xml:space="preserve">. </w:t>
      </w:r>
      <w:proofErr w:type="spellStart"/>
      <w:r w:rsidRPr="00AA0E63">
        <w:rPr>
          <w:color w:val="auto"/>
        </w:rPr>
        <w:t>Апропријације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прихода</w:t>
      </w:r>
      <w:proofErr w:type="spellEnd"/>
      <w:r w:rsidRPr="00AA0E63">
        <w:rPr>
          <w:color w:val="auto"/>
        </w:rPr>
        <w:t xml:space="preserve"> и </w:t>
      </w:r>
      <w:proofErr w:type="spellStart"/>
      <w:r w:rsidRPr="00AA0E63">
        <w:rPr>
          <w:color w:val="auto"/>
        </w:rPr>
        <w:t>примања</w:t>
      </w:r>
      <w:proofErr w:type="spellEnd"/>
      <w:r w:rsidRPr="00AA0E63">
        <w:rPr>
          <w:color w:val="auto"/>
        </w:rPr>
        <w:t xml:space="preserve">, </w:t>
      </w:r>
      <w:proofErr w:type="spellStart"/>
      <w:r w:rsidRPr="00AA0E63">
        <w:rPr>
          <w:color w:val="auto"/>
        </w:rPr>
        <w:t>расхода</w:t>
      </w:r>
      <w:proofErr w:type="spellEnd"/>
      <w:r w:rsidRPr="00AA0E63">
        <w:rPr>
          <w:color w:val="auto"/>
        </w:rPr>
        <w:t xml:space="preserve"> и </w:t>
      </w:r>
      <w:proofErr w:type="spellStart"/>
      <w:r w:rsidRPr="00AA0E63">
        <w:rPr>
          <w:color w:val="auto"/>
        </w:rPr>
        <w:t>издатака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из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изворa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финансирања</w:t>
      </w:r>
      <w:proofErr w:type="spellEnd"/>
      <w:r w:rsidRPr="00AA0E63">
        <w:rPr>
          <w:color w:val="auto"/>
        </w:rPr>
        <w:t xml:space="preserve"> 07 - </w:t>
      </w:r>
      <w:proofErr w:type="spellStart"/>
      <w:r w:rsidRPr="00AA0E63">
        <w:rPr>
          <w:color w:val="auto"/>
        </w:rPr>
        <w:t>Трансфери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од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других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нивоа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власти</w:t>
      </w:r>
      <w:proofErr w:type="spellEnd"/>
      <w:r w:rsidRPr="00AA0E63">
        <w:rPr>
          <w:color w:val="auto"/>
        </w:rPr>
        <w:t xml:space="preserve">, 08 - </w:t>
      </w:r>
      <w:proofErr w:type="spellStart"/>
      <w:r w:rsidRPr="00AA0E63">
        <w:rPr>
          <w:color w:val="auto"/>
        </w:rPr>
        <w:t>Добровољни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трансфери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од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физичких</w:t>
      </w:r>
      <w:proofErr w:type="spellEnd"/>
      <w:r w:rsidRPr="00AA0E63">
        <w:rPr>
          <w:color w:val="auto"/>
        </w:rPr>
        <w:t xml:space="preserve"> и </w:t>
      </w:r>
      <w:proofErr w:type="spellStart"/>
      <w:r w:rsidRPr="00AA0E63">
        <w:rPr>
          <w:color w:val="auto"/>
        </w:rPr>
        <w:t>правних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лица</w:t>
      </w:r>
      <w:proofErr w:type="spellEnd"/>
      <w:r w:rsidRPr="00AA0E63">
        <w:rPr>
          <w:color w:val="auto"/>
        </w:rPr>
        <w:t xml:space="preserve"> и 09 - </w:t>
      </w:r>
      <w:proofErr w:type="spellStart"/>
      <w:r w:rsidRPr="00AA0E63">
        <w:rPr>
          <w:color w:val="auto"/>
        </w:rPr>
        <w:t>Примања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од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продаје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нефинансијске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имовине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могу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се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планирати</w:t>
      </w:r>
      <w:proofErr w:type="spellEnd"/>
      <w:r w:rsidRPr="00AA0E63">
        <w:rPr>
          <w:color w:val="auto"/>
        </w:rPr>
        <w:t xml:space="preserve"> у </w:t>
      </w:r>
      <w:proofErr w:type="spellStart"/>
      <w:r w:rsidRPr="00AA0E63">
        <w:rPr>
          <w:color w:val="auto"/>
        </w:rPr>
        <w:t>складу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са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реално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очекиваним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приливом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средстава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по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тим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основама</w:t>
      </w:r>
      <w:proofErr w:type="spellEnd"/>
      <w:r w:rsidRPr="00AA0E63">
        <w:rPr>
          <w:color w:val="auto"/>
        </w:rPr>
        <w:t xml:space="preserve">. </w:t>
      </w:r>
    </w:p>
    <w:p w:rsidR="00AA0E63" w:rsidRPr="00AA0E63" w:rsidRDefault="00AA0E63" w:rsidP="00AA0E63">
      <w:pPr>
        <w:pStyle w:val="Default"/>
        <w:ind w:firstLine="708"/>
        <w:rPr>
          <w:color w:val="auto"/>
        </w:rPr>
      </w:pPr>
      <w:proofErr w:type="spellStart"/>
      <w:r w:rsidRPr="00AA0E63">
        <w:rPr>
          <w:color w:val="auto"/>
        </w:rPr>
        <w:t>Ненаменске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трансфере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јединице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локалне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самоуправе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треба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да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планирају</w:t>
      </w:r>
      <w:proofErr w:type="spellEnd"/>
      <w:r w:rsidRPr="00AA0E63">
        <w:rPr>
          <w:color w:val="auto"/>
        </w:rPr>
        <w:t xml:space="preserve"> у </w:t>
      </w:r>
      <w:proofErr w:type="spellStart"/>
      <w:r w:rsidRPr="00AA0E63">
        <w:rPr>
          <w:color w:val="auto"/>
        </w:rPr>
        <w:t>истом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износу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који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је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био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опредељен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Законом</w:t>
      </w:r>
      <w:proofErr w:type="spellEnd"/>
      <w:r w:rsidRPr="00AA0E63">
        <w:rPr>
          <w:color w:val="auto"/>
        </w:rPr>
        <w:t xml:space="preserve"> о </w:t>
      </w:r>
      <w:proofErr w:type="spellStart"/>
      <w:r w:rsidRPr="00AA0E63">
        <w:rPr>
          <w:color w:val="auto"/>
        </w:rPr>
        <w:t>буџету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Републике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Србије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за</w:t>
      </w:r>
      <w:proofErr w:type="spellEnd"/>
      <w:r w:rsidRPr="00AA0E63">
        <w:rPr>
          <w:color w:val="auto"/>
        </w:rPr>
        <w:t xml:space="preserve"> 2019. </w:t>
      </w:r>
      <w:proofErr w:type="spellStart"/>
      <w:r w:rsidRPr="00AA0E63">
        <w:rPr>
          <w:color w:val="auto"/>
        </w:rPr>
        <w:t>годину</w:t>
      </w:r>
      <w:proofErr w:type="spellEnd"/>
      <w:r w:rsidRPr="00AA0E63">
        <w:rPr>
          <w:color w:val="auto"/>
        </w:rPr>
        <w:t xml:space="preserve"> („</w:t>
      </w:r>
      <w:proofErr w:type="spellStart"/>
      <w:r w:rsidRPr="00AA0E63">
        <w:rPr>
          <w:color w:val="auto"/>
        </w:rPr>
        <w:t>Службени</w:t>
      </w:r>
      <w:proofErr w:type="spellEnd"/>
      <w:r w:rsidRPr="00AA0E63">
        <w:rPr>
          <w:color w:val="auto"/>
        </w:rPr>
        <w:t xml:space="preserve"> </w:t>
      </w:r>
      <w:proofErr w:type="spellStart"/>
      <w:r w:rsidRPr="00AA0E63">
        <w:rPr>
          <w:color w:val="auto"/>
        </w:rPr>
        <w:t>гласник</w:t>
      </w:r>
      <w:proofErr w:type="spellEnd"/>
      <w:r w:rsidRPr="00AA0E63">
        <w:rPr>
          <w:color w:val="auto"/>
        </w:rPr>
        <w:t xml:space="preserve"> РС”, </w:t>
      </w:r>
      <w:proofErr w:type="spellStart"/>
      <w:r w:rsidRPr="00AA0E63">
        <w:rPr>
          <w:color w:val="auto"/>
        </w:rPr>
        <w:t>број</w:t>
      </w:r>
      <w:proofErr w:type="spellEnd"/>
      <w:r w:rsidRPr="00AA0E63">
        <w:rPr>
          <w:color w:val="auto"/>
        </w:rPr>
        <w:t xml:space="preserve"> 95/18). </w:t>
      </w:r>
    </w:p>
    <w:p w:rsidR="002972FF" w:rsidRPr="00AA0E63" w:rsidRDefault="00AA0E63" w:rsidP="00AA0E6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A0E6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буџетском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исказују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оствареним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износима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расходи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издаци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извршеним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износима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уплату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распоред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тих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прописани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рачуни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уплату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финансирају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b/>
          <w:bCs/>
          <w:sz w:val="24"/>
          <w:szCs w:val="24"/>
        </w:rPr>
        <w:t>треба</w:t>
      </w:r>
      <w:proofErr w:type="spellEnd"/>
      <w:r w:rsidRPr="00AA0E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b/>
          <w:bCs/>
          <w:sz w:val="24"/>
          <w:szCs w:val="24"/>
        </w:rPr>
        <w:t>да</w:t>
      </w:r>
      <w:proofErr w:type="spellEnd"/>
      <w:r w:rsidRPr="00AA0E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b/>
          <w:bCs/>
          <w:sz w:val="24"/>
          <w:szCs w:val="24"/>
        </w:rPr>
        <w:t>буду</w:t>
      </w:r>
      <w:proofErr w:type="spellEnd"/>
      <w:r w:rsidRPr="00AA0E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b/>
          <w:bCs/>
          <w:sz w:val="24"/>
          <w:szCs w:val="24"/>
        </w:rPr>
        <w:t>уплаћени</w:t>
      </w:r>
      <w:proofErr w:type="spellEnd"/>
      <w:r w:rsidRPr="00AA0E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AA0E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b/>
          <w:bCs/>
          <w:sz w:val="24"/>
          <w:szCs w:val="24"/>
        </w:rPr>
        <w:t>рачуне</w:t>
      </w:r>
      <w:proofErr w:type="spellEnd"/>
      <w:r w:rsidRPr="00AA0E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b/>
          <w:bCs/>
          <w:sz w:val="24"/>
          <w:szCs w:val="24"/>
        </w:rPr>
        <w:t>прописане</w:t>
      </w:r>
      <w:proofErr w:type="spellEnd"/>
      <w:r w:rsidRPr="00AA0E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AA0E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b/>
          <w:bCs/>
          <w:sz w:val="24"/>
          <w:szCs w:val="24"/>
        </w:rPr>
        <w:t>уплату</w:t>
      </w:r>
      <w:proofErr w:type="spellEnd"/>
      <w:r w:rsidRPr="00AA0E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b/>
          <w:bCs/>
          <w:sz w:val="24"/>
          <w:szCs w:val="24"/>
        </w:rPr>
        <w:t>јавних</w:t>
      </w:r>
      <w:proofErr w:type="spellEnd"/>
      <w:r w:rsidRPr="00AA0E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b/>
          <w:bCs/>
          <w:sz w:val="24"/>
          <w:szCs w:val="24"/>
        </w:rPr>
        <w:t>прихода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чиме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испоштовало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уставно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начело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бруто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принципа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92.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Устава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), а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подрачуне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63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AA0E63">
        <w:rPr>
          <w:rFonts w:ascii="Times New Roman" w:hAnsi="Times New Roman" w:cs="Times New Roman"/>
          <w:sz w:val="24"/>
          <w:szCs w:val="24"/>
        </w:rPr>
        <w:t xml:space="preserve">. </w:t>
      </w:r>
      <w:r w:rsidR="004C26FB" w:rsidRPr="00AA0E6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119F6" w:rsidRPr="00374601" w:rsidRDefault="00E119F6" w:rsidP="0095336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1789" w:rsidRPr="00175FC4" w:rsidRDefault="005D0BD3" w:rsidP="00175FC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FC4">
        <w:rPr>
          <w:rFonts w:ascii="Times New Roman" w:hAnsi="Times New Roman" w:cs="Times New Roman"/>
          <w:b/>
          <w:sz w:val="24"/>
          <w:szCs w:val="24"/>
        </w:rPr>
        <w:t>О</w:t>
      </w:r>
      <w:r w:rsidRPr="00175FC4">
        <w:rPr>
          <w:rFonts w:ascii="Times New Roman" w:hAnsi="Times New Roman" w:cs="Times New Roman"/>
          <w:b/>
          <w:sz w:val="24"/>
          <w:szCs w:val="24"/>
          <w:lang w:val="sr-Cyrl-CS"/>
        </w:rPr>
        <w:t>пис планиране</w:t>
      </w:r>
      <w:r w:rsidR="007D3D91" w:rsidRPr="00175FC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политике</w:t>
      </w:r>
      <w:r w:rsidR="00261569" w:rsidRPr="00175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D91" w:rsidRPr="00175FC4">
        <w:rPr>
          <w:rFonts w:ascii="Times New Roman" w:hAnsi="Times New Roman" w:cs="Times New Roman"/>
          <w:b/>
          <w:sz w:val="24"/>
          <w:szCs w:val="24"/>
          <w:lang w:val="sr-Cyrl-CS"/>
        </w:rPr>
        <w:t>општине Мионица за период</w:t>
      </w:r>
      <w:r w:rsidR="00221789" w:rsidRPr="00175FC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20876" w:rsidRPr="00175FC4">
        <w:rPr>
          <w:rFonts w:ascii="Times New Roman" w:hAnsi="Times New Roman" w:cs="Times New Roman"/>
          <w:b/>
          <w:sz w:val="24"/>
          <w:szCs w:val="24"/>
        </w:rPr>
        <w:t>9-202</w:t>
      </w:r>
      <w:r w:rsidR="002D08BC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7D3D91" w:rsidRPr="00175FC4">
        <w:rPr>
          <w:rFonts w:ascii="Times New Roman" w:hAnsi="Times New Roman" w:cs="Times New Roman"/>
          <w:b/>
          <w:sz w:val="24"/>
          <w:szCs w:val="24"/>
        </w:rPr>
        <w:t>.</w:t>
      </w:r>
      <w:r w:rsidR="007D3D91" w:rsidRPr="00175FC4">
        <w:rPr>
          <w:rFonts w:ascii="Times New Roman" w:hAnsi="Times New Roman" w:cs="Times New Roman"/>
          <w:b/>
          <w:sz w:val="24"/>
          <w:szCs w:val="24"/>
          <w:lang w:val="sr-Cyrl-CS"/>
        </w:rPr>
        <w:t>године</w:t>
      </w:r>
    </w:p>
    <w:p w:rsidR="00261569" w:rsidRPr="00755B90" w:rsidRDefault="00261569" w:rsidP="0026156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A39" w:rsidRDefault="007D0190" w:rsidP="009533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4BB3" w:rsidRPr="0037460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4BB3" w:rsidRPr="00374601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="00284BB3" w:rsidRPr="00374601">
        <w:rPr>
          <w:rFonts w:ascii="Times New Roman" w:hAnsi="Times New Roman" w:cs="Times New Roman"/>
          <w:sz w:val="24"/>
          <w:szCs w:val="24"/>
        </w:rPr>
        <w:t xml:space="preserve"> од 201</w:t>
      </w:r>
      <w:r w:rsidR="0062087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62087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620876">
        <w:rPr>
          <w:rFonts w:ascii="Times New Roman" w:hAnsi="Times New Roman" w:cs="Times New Roman"/>
          <w:sz w:val="24"/>
          <w:szCs w:val="24"/>
        </w:rPr>
        <w:t xml:space="preserve"> 202</w:t>
      </w:r>
      <w:r w:rsidR="002D08B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615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156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26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569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261569">
        <w:rPr>
          <w:rFonts w:ascii="Times New Roman" w:hAnsi="Times New Roman" w:cs="Times New Roman"/>
          <w:sz w:val="24"/>
          <w:szCs w:val="24"/>
        </w:rPr>
        <w:t xml:space="preserve"> </w:t>
      </w:r>
      <w:r w:rsidR="00261569">
        <w:rPr>
          <w:rFonts w:ascii="Times New Roman" w:hAnsi="Times New Roman" w:cs="Times New Roman"/>
          <w:sz w:val="24"/>
          <w:szCs w:val="24"/>
          <w:lang w:val="sr-Cyrl-CS"/>
        </w:rPr>
        <w:t>Мионица</w:t>
      </w:r>
      <w:r w:rsidR="00221789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89" w:rsidRPr="0037460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221789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89" w:rsidRPr="00374601">
        <w:rPr>
          <w:rFonts w:ascii="Times New Roman" w:hAnsi="Times New Roman" w:cs="Times New Roman"/>
          <w:sz w:val="24"/>
          <w:szCs w:val="24"/>
        </w:rPr>
        <w:t>обављати</w:t>
      </w:r>
      <w:proofErr w:type="spellEnd"/>
      <w:r w:rsidR="00221789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89" w:rsidRPr="00374601">
        <w:rPr>
          <w:rFonts w:ascii="Times New Roman" w:hAnsi="Times New Roman" w:cs="Times New Roman"/>
          <w:sz w:val="24"/>
          <w:szCs w:val="24"/>
        </w:rPr>
        <w:t>изворне</w:t>
      </w:r>
      <w:proofErr w:type="spellEnd"/>
      <w:r w:rsidR="00221789" w:rsidRPr="003746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789" w:rsidRPr="00374601">
        <w:rPr>
          <w:rFonts w:ascii="Times New Roman" w:hAnsi="Times New Roman" w:cs="Times New Roman"/>
          <w:sz w:val="24"/>
          <w:szCs w:val="24"/>
        </w:rPr>
        <w:t>поверене</w:t>
      </w:r>
      <w:proofErr w:type="spellEnd"/>
      <w:r w:rsidR="00221789" w:rsidRPr="003746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21789" w:rsidRPr="00374601">
        <w:rPr>
          <w:rFonts w:ascii="Times New Roman" w:hAnsi="Times New Roman" w:cs="Times New Roman"/>
          <w:sz w:val="24"/>
          <w:szCs w:val="24"/>
        </w:rPr>
        <w:t>пренесене</w:t>
      </w:r>
      <w:proofErr w:type="spellEnd"/>
      <w:r w:rsidR="00221789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89" w:rsidRPr="00374601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="00221789" w:rsidRPr="0037460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21789" w:rsidRPr="0037460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21789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89" w:rsidRPr="0037460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21789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89" w:rsidRPr="00374601">
        <w:rPr>
          <w:rFonts w:ascii="Times New Roman" w:hAnsi="Times New Roman" w:cs="Times New Roman"/>
          <w:sz w:val="24"/>
          <w:szCs w:val="24"/>
        </w:rPr>
        <w:t>Уставом</w:t>
      </w:r>
      <w:proofErr w:type="spellEnd"/>
      <w:r w:rsidR="00221789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89" w:rsidRPr="00374601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221789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89" w:rsidRPr="00374601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221789" w:rsidRPr="003746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21789" w:rsidRPr="00374601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221789" w:rsidRPr="0037460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21789" w:rsidRPr="00374601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="00221789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89" w:rsidRPr="00374601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="00221789" w:rsidRPr="003746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789" w:rsidRPr="0037460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221789" w:rsidRPr="003746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21789" w:rsidRPr="00374601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="00221789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89" w:rsidRPr="00374601">
        <w:rPr>
          <w:rFonts w:ascii="Times New Roman" w:hAnsi="Times New Roman" w:cs="Times New Roman"/>
          <w:sz w:val="24"/>
          <w:szCs w:val="24"/>
        </w:rPr>
        <w:t>зак</w:t>
      </w:r>
      <w:r w:rsidR="00D83A39">
        <w:rPr>
          <w:rFonts w:ascii="Times New Roman" w:hAnsi="Times New Roman" w:cs="Times New Roman"/>
          <w:sz w:val="24"/>
          <w:szCs w:val="24"/>
        </w:rPr>
        <w:t>онским</w:t>
      </w:r>
      <w:proofErr w:type="spellEnd"/>
      <w:r w:rsidR="00D83A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3A39">
        <w:rPr>
          <w:rFonts w:ascii="Times New Roman" w:hAnsi="Times New Roman" w:cs="Times New Roman"/>
          <w:sz w:val="24"/>
          <w:szCs w:val="24"/>
        </w:rPr>
        <w:t>подзаконским</w:t>
      </w:r>
      <w:proofErr w:type="spellEnd"/>
      <w:r w:rsidR="00D83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A39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="00D83A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21789" w:rsidRPr="00374601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3078F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21789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89" w:rsidRPr="0037460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21789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89" w:rsidRPr="00374601">
        <w:rPr>
          <w:rFonts w:ascii="Times New Roman" w:hAnsi="Times New Roman" w:cs="Times New Roman"/>
          <w:sz w:val="24"/>
          <w:szCs w:val="24"/>
        </w:rPr>
        <w:t>регулише</w:t>
      </w:r>
      <w:proofErr w:type="spellEnd"/>
      <w:r w:rsidR="00221789" w:rsidRPr="00374601">
        <w:rPr>
          <w:rFonts w:ascii="Times New Roman" w:hAnsi="Times New Roman" w:cs="Times New Roman"/>
          <w:sz w:val="24"/>
          <w:szCs w:val="24"/>
        </w:rPr>
        <w:t xml:space="preserve"> </w:t>
      </w:r>
      <w:r w:rsidR="003078FD">
        <w:rPr>
          <w:rFonts w:ascii="Times New Roman" w:hAnsi="Times New Roman" w:cs="Times New Roman"/>
          <w:sz w:val="24"/>
          <w:szCs w:val="24"/>
          <w:lang w:val="sr-Cyrl-CS"/>
        </w:rPr>
        <w:t xml:space="preserve"> надлежност општине Мионица</w:t>
      </w:r>
      <w:r w:rsidR="00D83A39">
        <w:rPr>
          <w:rFonts w:ascii="Times New Roman" w:hAnsi="Times New Roman" w:cs="Times New Roman"/>
          <w:sz w:val="24"/>
          <w:szCs w:val="24"/>
        </w:rPr>
        <w:t>.</w:t>
      </w:r>
      <w:r w:rsidR="003078FD">
        <w:rPr>
          <w:rFonts w:ascii="Times New Roman" w:hAnsi="Times New Roman" w:cs="Times New Roman"/>
          <w:sz w:val="24"/>
          <w:szCs w:val="24"/>
          <w:lang w:val="sr-Cyrl-CS"/>
        </w:rPr>
        <w:t>Општина Мионица ће</w:t>
      </w:r>
      <w:r w:rsidR="007019B2">
        <w:rPr>
          <w:rFonts w:ascii="Times New Roman" w:hAnsi="Times New Roman" w:cs="Times New Roman"/>
          <w:sz w:val="24"/>
          <w:szCs w:val="24"/>
          <w:lang w:val="sr-Cyrl-CS"/>
        </w:rPr>
        <w:t xml:space="preserve"> у наредном периоду</w:t>
      </w:r>
      <w:r w:rsidR="003078FD">
        <w:rPr>
          <w:rFonts w:ascii="Times New Roman" w:hAnsi="Times New Roman" w:cs="Times New Roman"/>
          <w:sz w:val="24"/>
          <w:szCs w:val="24"/>
          <w:lang w:val="sr-Cyrl-CS"/>
        </w:rPr>
        <w:t xml:space="preserve"> наставити са пословима:</w:t>
      </w:r>
    </w:p>
    <w:p w:rsidR="007019B2" w:rsidRPr="007D3D91" w:rsidRDefault="007D3D91" w:rsidP="007D3D9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223B84">
        <w:rPr>
          <w:rFonts w:ascii="Times New Roman" w:hAnsi="Times New Roman" w:cs="Times New Roman"/>
          <w:sz w:val="24"/>
          <w:szCs w:val="24"/>
        </w:rPr>
        <w:t xml:space="preserve">       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-пољопривред</w:t>
      </w:r>
      <w:r w:rsidR="00223B84">
        <w:rPr>
          <w:rFonts w:ascii="Times New Roman" w:hAnsi="Times New Roman" w:cs="Times New Roman"/>
          <w:sz w:val="24"/>
          <w:szCs w:val="24"/>
        </w:rPr>
        <w:t>e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 xml:space="preserve"> и руралн</w:t>
      </w:r>
      <w:r w:rsidR="00223B84">
        <w:rPr>
          <w:rFonts w:ascii="Times New Roman" w:hAnsi="Times New Roman" w:cs="Times New Roman"/>
          <w:sz w:val="24"/>
          <w:szCs w:val="24"/>
        </w:rPr>
        <w:t>o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7019B2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 развој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p w:rsidR="007019B2" w:rsidRPr="007D3D91" w:rsidRDefault="007D3D91" w:rsidP="007D3D9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3B8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-заштите</w:t>
      </w:r>
      <w:r w:rsidR="007019B2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 животне средине</w:t>
      </w:r>
    </w:p>
    <w:p w:rsidR="00205A29" w:rsidRPr="007D3D91" w:rsidRDefault="007D3D91" w:rsidP="007D3D9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36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3B84">
        <w:rPr>
          <w:rFonts w:ascii="Times New Roman" w:hAnsi="Times New Roman" w:cs="Times New Roman"/>
          <w:sz w:val="24"/>
          <w:szCs w:val="24"/>
        </w:rPr>
        <w:t xml:space="preserve">       </w:t>
      </w:r>
      <w:r w:rsidR="00205A29" w:rsidRPr="007D3D91">
        <w:rPr>
          <w:rFonts w:ascii="Times New Roman" w:hAnsi="Times New Roman" w:cs="Times New Roman"/>
          <w:sz w:val="24"/>
          <w:szCs w:val="24"/>
          <w:lang w:val="sr-Cyrl-CS"/>
        </w:rPr>
        <w:t>-урбанизам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05A29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 и просторно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г планирања</w:t>
      </w:r>
    </w:p>
    <w:p w:rsidR="007019B2" w:rsidRPr="007D3D91" w:rsidRDefault="007D3D91" w:rsidP="007D3D9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223B84">
        <w:rPr>
          <w:rFonts w:ascii="Times New Roman" w:hAnsi="Times New Roman" w:cs="Times New Roman"/>
          <w:sz w:val="24"/>
          <w:szCs w:val="24"/>
        </w:rPr>
        <w:t xml:space="preserve">       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-вођења</w:t>
      </w:r>
      <w:r w:rsidR="007019B2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 политике локалног економског развоја</w:t>
      </w:r>
    </w:p>
    <w:p w:rsidR="00D83A39" w:rsidRPr="007D3D91" w:rsidRDefault="007D3D91" w:rsidP="007D3D9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36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3B84">
        <w:rPr>
          <w:rFonts w:ascii="Times New Roman" w:hAnsi="Times New Roman" w:cs="Times New Roman"/>
          <w:sz w:val="24"/>
          <w:szCs w:val="24"/>
        </w:rPr>
        <w:t xml:space="preserve">       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-опорезивања</w:t>
      </w:r>
      <w:r w:rsidR="00D83A39" w:rsidRPr="007D3D91">
        <w:rPr>
          <w:rFonts w:ascii="Times New Roman" w:hAnsi="Times New Roman" w:cs="Times New Roman"/>
          <w:sz w:val="24"/>
          <w:szCs w:val="24"/>
          <w:lang w:val="sr-Cyrl-CS"/>
        </w:rPr>
        <w:t>,финансијско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г управљање и контроле,буџетирања</w:t>
      </w:r>
    </w:p>
    <w:p w:rsidR="007019B2" w:rsidRPr="007D3D91" w:rsidRDefault="007D3D91" w:rsidP="007D3D9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223B84">
        <w:rPr>
          <w:rFonts w:ascii="Times New Roman" w:hAnsi="Times New Roman" w:cs="Times New Roman"/>
          <w:sz w:val="24"/>
          <w:szCs w:val="24"/>
        </w:rPr>
        <w:t xml:space="preserve">      </w:t>
      </w:r>
      <w:r w:rsidR="00D83A39" w:rsidRPr="007D3D91">
        <w:rPr>
          <w:rFonts w:ascii="Times New Roman" w:hAnsi="Times New Roman" w:cs="Times New Roman"/>
          <w:sz w:val="24"/>
          <w:szCs w:val="24"/>
          <w:lang w:val="sr-Cyrl-CS"/>
        </w:rPr>
        <w:t>-о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бављања</w:t>
      </w:r>
      <w:r w:rsidR="003078FD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 комуналне делатности</w:t>
      </w:r>
      <w:r w:rsidR="007019B2" w:rsidRPr="007D3D91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3078FD" w:rsidRPr="007D3D91">
        <w:rPr>
          <w:rFonts w:ascii="Times New Roman" w:hAnsi="Times New Roman" w:cs="Times New Roman"/>
          <w:sz w:val="24"/>
          <w:szCs w:val="24"/>
          <w:lang w:val="sr-Cyrl-CS"/>
        </w:rPr>
        <w:t>одржавањ</w:t>
      </w:r>
      <w:r w:rsidR="007019B2" w:rsidRPr="007D3D91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3078FD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 и изградњ</w:t>
      </w:r>
      <w:r w:rsidR="007019B2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3078FD" w:rsidRPr="007D3D91">
        <w:rPr>
          <w:rFonts w:ascii="Times New Roman" w:hAnsi="Times New Roman" w:cs="Times New Roman"/>
          <w:sz w:val="24"/>
          <w:szCs w:val="24"/>
          <w:lang w:val="sr-Cyrl-CS"/>
        </w:rPr>
        <w:t>јавне расвете,</w:t>
      </w:r>
      <w:r w:rsidR="007019B2" w:rsidRPr="007D3D91">
        <w:rPr>
          <w:rFonts w:ascii="Times New Roman" w:hAnsi="Times New Roman" w:cs="Times New Roman"/>
          <w:sz w:val="24"/>
          <w:szCs w:val="24"/>
          <w:lang w:val="sr-Cyrl-CS"/>
        </w:rPr>
        <w:t>зоохигијена,</w:t>
      </w:r>
      <w:r w:rsidR="00223B84">
        <w:rPr>
          <w:rFonts w:ascii="Times New Roman" w:hAnsi="Times New Roman" w:cs="Times New Roman"/>
          <w:sz w:val="24"/>
          <w:szCs w:val="24"/>
        </w:rPr>
        <w:t xml:space="preserve"> </w:t>
      </w:r>
      <w:r w:rsidR="007019B2" w:rsidRPr="007D3D91">
        <w:rPr>
          <w:rFonts w:ascii="Times New Roman" w:hAnsi="Times New Roman" w:cs="Times New Roman"/>
          <w:sz w:val="24"/>
          <w:szCs w:val="24"/>
          <w:lang w:val="sr-Cyrl-CS"/>
        </w:rPr>
        <w:t>одржавање чистоће на јавним површинама,и др.)</w:t>
      </w:r>
    </w:p>
    <w:p w:rsidR="00D83A39" w:rsidRPr="009D5071" w:rsidRDefault="007D3D91" w:rsidP="007D3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223B84">
        <w:rPr>
          <w:rFonts w:ascii="Times New Roman" w:hAnsi="Times New Roman" w:cs="Times New Roman"/>
          <w:sz w:val="24"/>
          <w:szCs w:val="24"/>
        </w:rPr>
        <w:t xml:space="preserve">     </w:t>
      </w:r>
      <w:r w:rsidR="00D83A39" w:rsidRPr="007D3D91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27464B">
        <w:rPr>
          <w:rFonts w:ascii="Times New Roman" w:hAnsi="Times New Roman" w:cs="Times New Roman"/>
          <w:sz w:val="24"/>
          <w:szCs w:val="24"/>
          <w:lang w:val="sr-Cyrl-CS"/>
        </w:rPr>
        <w:t>израде</w:t>
      </w:r>
      <w:r w:rsidR="003078FD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 пројектно-</w:t>
      </w:r>
      <w:r w:rsidR="00A34A0E">
        <w:rPr>
          <w:rFonts w:ascii="Times New Roman" w:hAnsi="Times New Roman" w:cs="Times New Roman"/>
          <w:sz w:val="24"/>
          <w:szCs w:val="24"/>
          <w:lang w:val="sr-Cyrl-CS"/>
        </w:rPr>
        <w:t>техничке документације са којом</w:t>
      </w:r>
      <w:r w:rsidR="003078FD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 ће општина Мионица аплицирати код одређених финансијских фондова за реализацију истих,а који су у функцији</w:t>
      </w:r>
      <w:r w:rsidR="00D83A39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78FD" w:rsidRPr="007D3D91">
        <w:rPr>
          <w:rFonts w:ascii="Times New Roman" w:hAnsi="Times New Roman" w:cs="Times New Roman"/>
          <w:sz w:val="24"/>
          <w:szCs w:val="24"/>
          <w:lang w:val="sr-Cyrl-CS"/>
        </w:rPr>
        <w:t>раз</w:t>
      </w:r>
      <w:r w:rsidR="009D5071">
        <w:rPr>
          <w:rFonts w:ascii="Times New Roman" w:hAnsi="Times New Roman" w:cs="Times New Roman"/>
          <w:sz w:val="24"/>
          <w:szCs w:val="24"/>
          <w:lang w:val="sr-Cyrl-CS"/>
        </w:rPr>
        <w:t>воја инфраструктуре</w:t>
      </w:r>
    </w:p>
    <w:p w:rsidR="003078FD" w:rsidRPr="007D3D91" w:rsidRDefault="007D3D91" w:rsidP="007D3D9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D5071">
        <w:rPr>
          <w:rFonts w:ascii="Times New Roman" w:hAnsi="Times New Roman" w:cs="Times New Roman"/>
          <w:sz w:val="24"/>
          <w:szCs w:val="24"/>
        </w:rPr>
        <w:t xml:space="preserve">   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-даљег</w:t>
      </w:r>
      <w:r w:rsidR="00D83A39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  развој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D83A39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78FD" w:rsidRPr="007D3D91">
        <w:rPr>
          <w:rFonts w:ascii="Times New Roman" w:hAnsi="Times New Roman" w:cs="Times New Roman"/>
          <w:sz w:val="24"/>
          <w:szCs w:val="24"/>
          <w:lang w:val="sr-Cyrl-CS"/>
        </w:rPr>
        <w:t>туризма</w:t>
      </w:r>
    </w:p>
    <w:p w:rsidR="007019B2" w:rsidRPr="00E43624" w:rsidRDefault="00E43624" w:rsidP="00E4362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50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="007019B2" w:rsidRPr="00E43624">
        <w:rPr>
          <w:rFonts w:ascii="Times New Roman" w:hAnsi="Times New Roman" w:cs="Times New Roman"/>
          <w:sz w:val="24"/>
          <w:szCs w:val="24"/>
          <w:lang w:val="sr-Cyrl-CS"/>
        </w:rPr>
        <w:t>обезбеђивање функционисања локалних установа у</w:t>
      </w:r>
      <w:r w:rsidR="009D5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071">
        <w:rPr>
          <w:rFonts w:ascii="Times New Roman" w:hAnsi="Times New Roman" w:cs="Times New Roman"/>
          <w:sz w:val="24"/>
          <w:szCs w:val="24"/>
        </w:rPr>
        <w:t>oбразовању</w:t>
      </w:r>
      <w:proofErr w:type="spellEnd"/>
      <w:r w:rsidR="009D5071">
        <w:rPr>
          <w:rFonts w:ascii="Times New Roman" w:hAnsi="Times New Roman" w:cs="Times New Roman"/>
          <w:sz w:val="24"/>
          <w:szCs w:val="24"/>
        </w:rPr>
        <w:t>,</w:t>
      </w:r>
      <w:r w:rsidR="007019B2" w:rsidRPr="00E43624">
        <w:rPr>
          <w:rFonts w:ascii="Times New Roman" w:hAnsi="Times New Roman" w:cs="Times New Roman"/>
          <w:sz w:val="24"/>
          <w:szCs w:val="24"/>
          <w:lang w:val="sr-Cyrl-CS"/>
        </w:rPr>
        <w:t xml:space="preserve"> култури и спорту</w:t>
      </w:r>
    </w:p>
    <w:p w:rsidR="00D83A39" w:rsidRPr="00E43624" w:rsidRDefault="00E43624" w:rsidP="00E4362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50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организацији</w:t>
      </w:r>
      <w:r w:rsidR="007019B2" w:rsidRPr="00E43624">
        <w:rPr>
          <w:rFonts w:ascii="Times New Roman" w:hAnsi="Times New Roman" w:cs="Times New Roman"/>
          <w:sz w:val="24"/>
          <w:szCs w:val="24"/>
          <w:lang w:val="sr-Cyrl-CS"/>
        </w:rPr>
        <w:t xml:space="preserve"> културних и спорстких активности и манифестација,</w:t>
      </w:r>
    </w:p>
    <w:p w:rsidR="007019B2" w:rsidRPr="00E43624" w:rsidRDefault="00E43624" w:rsidP="00E4362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D50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7019B2" w:rsidRPr="00E43624">
        <w:rPr>
          <w:rFonts w:ascii="Times New Roman" w:hAnsi="Times New Roman" w:cs="Times New Roman"/>
          <w:sz w:val="24"/>
          <w:szCs w:val="24"/>
          <w:lang w:val="sr-Cyrl-CS"/>
        </w:rPr>
        <w:t>пружању осталих услуга грађанима и привреди у складу са Законом.</w:t>
      </w:r>
    </w:p>
    <w:p w:rsidR="00FF11B7" w:rsidRDefault="00FF11B7" w:rsidP="009533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5A29" w:rsidRDefault="007019B2" w:rsidP="009533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Мионица ће обављати по</w:t>
      </w:r>
      <w:r w:rsidR="00205A29">
        <w:rPr>
          <w:rFonts w:ascii="Times New Roman" w:hAnsi="Times New Roman" w:cs="Times New Roman"/>
          <w:sz w:val="24"/>
          <w:szCs w:val="24"/>
          <w:lang w:val="sr-Cyrl-CS"/>
        </w:rPr>
        <w:t>верене и пренесене послове из области:државне управе,социјалне заштите,здравствене заштите,предшколског,основног и ср</w:t>
      </w:r>
      <w:r w:rsidR="00E43624">
        <w:rPr>
          <w:rFonts w:ascii="Times New Roman" w:hAnsi="Times New Roman" w:cs="Times New Roman"/>
          <w:sz w:val="24"/>
          <w:szCs w:val="24"/>
          <w:lang w:val="sr-Cyrl-CS"/>
        </w:rPr>
        <w:t>едњег образовања,рада инспекцијски</w:t>
      </w:r>
      <w:r w:rsidR="00205A29">
        <w:rPr>
          <w:rFonts w:ascii="Times New Roman" w:hAnsi="Times New Roman" w:cs="Times New Roman"/>
          <w:sz w:val="24"/>
          <w:szCs w:val="24"/>
          <w:lang w:val="sr-Cyrl-CS"/>
        </w:rPr>
        <w:t>х служби,екологије и очувања животне средине и др.</w:t>
      </w:r>
    </w:p>
    <w:p w:rsidR="0076292D" w:rsidRDefault="0076292D" w:rsidP="009533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5A29" w:rsidRDefault="009D5071" w:rsidP="009533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Општина Мионица ће и у 20</w:t>
      </w:r>
      <w:r w:rsidR="002D08BC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205A29">
        <w:rPr>
          <w:rFonts w:ascii="Times New Roman" w:hAnsi="Times New Roman" w:cs="Times New Roman"/>
          <w:sz w:val="24"/>
          <w:szCs w:val="24"/>
          <w:lang w:val="sr-Cyrl-CS"/>
        </w:rPr>
        <w:t>.години наставити са спровођењем мера штед</w:t>
      </w:r>
      <w:r w:rsidR="00E43624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="00205A29">
        <w:rPr>
          <w:rFonts w:ascii="Times New Roman" w:hAnsi="Times New Roman" w:cs="Times New Roman"/>
          <w:sz w:val="24"/>
          <w:szCs w:val="24"/>
          <w:lang w:val="sr-Cyrl-CS"/>
        </w:rPr>
        <w:t>е и рационализације ,сходно предлозима Владе Републике Србије</w:t>
      </w:r>
      <w:r w:rsidR="00E43624">
        <w:rPr>
          <w:rFonts w:ascii="Times New Roman" w:hAnsi="Times New Roman" w:cs="Times New Roman"/>
          <w:sz w:val="24"/>
          <w:szCs w:val="24"/>
          <w:lang w:val="sr-Cyrl-CS"/>
        </w:rPr>
        <w:t xml:space="preserve"> и биће испоштоване мере предлож</w:t>
      </w:r>
      <w:r w:rsidR="00205A29">
        <w:rPr>
          <w:rFonts w:ascii="Times New Roman" w:hAnsi="Times New Roman" w:cs="Times New Roman"/>
          <w:sz w:val="24"/>
          <w:szCs w:val="24"/>
          <w:lang w:val="sr-Cyrl-CS"/>
        </w:rPr>
        <w:t>ене од стране Министарства финансија о начину планирања одређених врста расхода.</w:t>
      </w:r>
    </w:p>
    <w:p w:rsidR="0076292D" w:rsidRDefault="0076292D" w:rsidP="009533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72A3" w:rsidRPr="00FF11B7" w:rsidRDefault="009872A3" w:rsidP="009533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Успостављање одрживог нивоа расхода корисника бу</w:t>
      </w:r>
      <w:r w:rsidR="00D83A39">
        <w:rPr>
          <w:rFonts w:ascii="Times New Roman" w:hAnsi="Times New Roman" w:cs="Times New Roman"/>
          <w:sz w:val="24"/>
          <w:szCs w:val="24"/>
          <w:lang w:val="sr-Cyrl-CS"/>
        </w:rPr>
        <w:t>џ</w:t>
      </w:r>
      <w:r>
        <w:rPr>
          <w:rFonts w:ascii="Times New Roman" w:hAnsi="Times New Roman" w:cs="Times New Roman"/>
          <w:sz w:val="24"/>
          <w:szCs w:val="24"/>
          <w:lang w:val="sr-Cyrl-CS"/>
        </w:rPr>
        <w:t>етских средстава у односу на остварене приходе је ,такође,један од циљева за наредни период.</w:t>
      </w:r>
      <w:r w:rsidR="00FF11B7" w:rsidRPr="00FF1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B7" w:rsidRPr="00374601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="00FF11B7" w:rsidRPr="0037460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FF11B7" w:rsidRPr="00374601">
        <w:rPr>
          <w:rFonts w:ascii="Times New Roman" w:hAnsi="Times New Roman" w:cs="Times New Roman"/>
          <w:sz w:val="24"/>
          <w:szCs w:val="24"/>
        </w:rPr>
        <w:t>наредној</w:t>
      </w:r>
      <w:proofErr w:type="spellEnd"/>
      <w:r w:rsidR="00FF11B7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B7" w:rsidRPr="00374601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="00FF11B7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B7" w:rsidRPr="00374601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FF11B7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B7" w:rsidRPr="0037460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F11B7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B7" w:rsidRPr="00374601">
        <w:rPr>
          <w:rFonts w:ascii="Times New Roman" w:hAnsi="Times New Roman" w:cs="Times New Roman"/>
          <w:sz w:val="24"/>
          <w:szCs w:val="24"/>
        </w:rPr>
        <w:t>предузети</w:t>
      </w:r>
      <w:proofErr w:type="spellEnd"/>
      <w:r w:rsidR="00FF11B7" w:rsidRPr="00374601">
        <w:rPr>
          <w:rFonts w:ascii="Times New Roman" w:hAnsi="Times New Roman" w:cs="Times New Roman"/>
          <w:sz w:val="24"/>
          <w:szCs w:val="24"/>
        </w:rPr>
        <w:t xml:space="preserve"> </w:t>
      </w:r>
      <w:r w:rsidR="00E43624">
        <w:rPr>
          <w:rFonts w:ascii="Times New Roman" w:hAnsi="Times New Roman" w:cs="Times New Roman"/>
          <w:sz w:val="24"/>
          <w:szCs w:val="24"/>
          <w:lang w:val="sr-Cyrl-CS"/>
        </w:rPr>
        <w:t xml:space="preserve"> даље </w:t>
      </w:r>
      <w:proofErr w:type="spellStart"/>
      <w:r w:rsidR="00FF11B7" w:rsidRPr="00374601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FF11B7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B7" w:rsidRPr="0037460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FF11B7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B7" w:rsidRPr="0037460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FF11B7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B7" w:rsidRPr="0037460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FF11B7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B7" w:rsidRPr="00374601">
        <w:rPr>
          <w:rFonts w:ascii="Times New Roman" w:hAnsi="Times New Roman" w:cs="Times New Roman"/>
          <w:sz w:val="24"/>
          <w:szCs w:val="24"/>
        </w:rPr>
        <w:t>усмерене</w:t>
      </w:r>
      <w:proofErr w:type="spellEnd"/>
      <w:r w:rsidR="00FF11B7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B7" w:rsidRPr="00374601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FF11B7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B7" w:rsidRPr="00374601">
        <w:rPr>
          <w:rFonts w:ascii="Times New Roman" w:hAnsi="Times New Roman" w:cs="Times New Roman"/>
          <w:sz w:val="24"/>
          <w:szCs w:val="24"/>
        </w:rPr>
        <w:t>повећању</w:t>
      </w:r>
      <w:proofErr w:type="spellEnd"/>
      <w:r w:rsidR="00FF11B7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B7" w:rsidRPr="00374601">
        <w:rPr>
          <w:rFonts w:ascii="Times New Roman" w:hAnsi="Times New Roman" w:cs="Times New Roman"/>
          <w:sz w:val="24"/>
          <w:szCs w:val="24"/>
        </w:rPr>
        <w:t>наплате</w:t>
      </w:r>
      <w:proofErr w:type="spellEnd"/>
      <w:r w:rsidR="00FF11B7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B7" w:rsidRPr="00374601">
        <w:rPr>
          <w:rFonts w:ascii="Times New Roman" w:hAnsi="Times New Roman" w:cs="Times New Roman"/>
          <w:sz w:val="24"/>
          <w:szCs w:val="24"/>
        </w:rPr>
        <w:t>пореских</w:t>
      </w:r>
      <w:proofErr w:type="spellEnd"/>
      <w:r w:rsidR="00FF11B7" w:rsidRPr="003746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F11B7" w:rsidRPr="00374601">
        <w:rPr>
          <w:rFonts w:ascii="Times New Roman" w:hAnsi="Times New Roman" w:cs="Times New Roman"/>
          <w:sz w:val="24"/>
          <w:szCs w:val="24"/>
        </w:rPr>
        <w:t>непореских</w:t>
      </w:r>
      <w:proofErr w:type="spellEnd"/>
      <w:r w:rsidR="00FF11B7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B7" w:rsidRPr="00374601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="00FF11B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03B00" w:rsidRPr="00792C7A" w:rsidRDefault="007D0190" w:rsidP="009533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162A7" w:rsidRPr="00374601" w:rsidRDefault="00221789" w:rsidP="00953362">
      <w:pPr>
        <w:jc w:val="both"/>
        <w:rPr>
          <w:rFonts w:ascii="Times New Roman" w:hAnsi="Times New Roman" w:cs="Times New Roman"/>
          <w:sz w:val="24"/>
          <w:szCs w:val="24"/>
        </w:rPr>
      </w:pPr>
      <w:r w:rsidRPr="00374601">
        <w:rPr>
          <w:rFonts w:ascii="Times New Roman" w:hAnsi="Times New Roman" w:cs="Times New Roman"/>
          <w:sz w:val="24"/>
          <w:szCs w:val="24"/>
        </w:rPr>
        <w:t xml:space="preserve"> </w:t>
      </w:r>
      <w:r w:rsidR="007D019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5650D" w:rsidRPr="00175FC4" w:rsidRDefault="0036455C" w:rsidP="00175FC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175FC4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Процена прихода и примања ,рас</w:t>
      </w:r>
      <w:r w:rsidR="009D5071" w:rsidRPr="00175FC4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хода и издатака буџета општине Мионица за 20</w:t>
      </w:r>
      <w:r w:rsidR="002D08BC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20</w:t>
      </w:r>
      <w:r w:rsidRPr="00175FC4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.годину,са пројекцијама за наредне две године </w:t>
      </w:r>
    </w:p>
    <w:p w:rsidR="0036455C" w:rsidRPr="0036455C" w:rsidRDefault="0036455C" w:rsidP="0036455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651A92" w:rsidRDefault="00651A92" w:rsidP="00651A9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E57111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Полазна основа за процену прихода и прим</w:t>
      </w:r>
      <w:r w:rsidR="009D5071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ања и расхода и издатака за 20</w:t>
      </w:r>
      <w:r w:rsidR="002D08BC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20</w:t>
      </w:r>
      <w:r w:rsidRPr="00E57111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.годину </w:t>
      </w:r>
      <w:r w:rsidR="00E57111" w:rsidRPr="00E57111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су </w:t>
      </w:r>
      <w:r w:rsidR="00E57111" w:rsidRPr="00A34A0E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укупни </w:t>
      </w:r>
      <w:r w:rsidR="00E57111" w:rsidRPr="00A34A0E">
        <w:rPr>
          <w:rFonts w:ascii="Times New Roman" w:hAnsi="Times New Roman" w:cs="Times New Roman"/>
          <w:b/>
          <w:sz w:val="24"/>
          <w:szCs w:val="24"/>
          <w:lang w:val="sr-Cyrl-CS"/>
        </w:rPr>
        <w:t>прих</w:t>
      </w:r>
      <w:r w:rsidR="009D507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оди  остварени у првих </w:t>
      </w:r>
      <w:r w:rsidR="00AA0E63">
        <w:rPr>
          <w:rFonts w:ascii="Times New Roman" w:hAnsi="Times New Roman" w:cs="Times New Roman"/>
          <w:b/>
          <w:sz w:val="24"/>
          <w:szCs w:val="24"/>
          <w:lang w:val="sr-Cyrl-CS"/>
        </w:rPr>
        <w:t>шест</w:t>
      </w:r>
      <w:r w:rsidR="0036455C" w:rsidRPr="00A34A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месеци </w:t>
      </w:r>
      <w:r w:rsidR="009D507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</w:t>
      </w:r>
      <w:r w:rsidR="002D08BC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="00E57111" w:rsidRPr="00A34A0E">
        <w:rPr>
          <w:rFonts w:ascii="Times New Roman" w:hAnsi="Times New Roman" w:cs="Times New Roman"/>
          <w:b/>
          <w:sz w:val="24"/>
          <w:szCs w:val="24"/>
          <w:lang w:val="sr-Cyrl-CS"/>
        </w:rPr>
        <w:t>.години и њихова процена остварења  до краја те године</w:t>
      </w:r>
      <w:r w:rsidR="0036455C">
        <w:rPr>
          <w:rFonts w:ascii="Times New Roman" w:hAnsi="Times New Roman" w:cs="Times New Roman"/>
          <w:sz w:val="24"/>
          <w:szCs w:val="24"/>
          <w:lang w:val="sr-Cyrl-CS"/>
        </w:rPr>
        <w:t xml:space="preserve">,што представља </w:t>
      </w:r>
      <w:r w:rsidR="00C0603B">
        <w:rPr>
          <w:rFonts w:ascii="Times New Roman" w:hAnsi="Times New Roman" w:cs="Times New Roman"/>
          <w:sz w:val="24"/>
          <w:szCs w:val="24"/>
          <w:lang w:val="sr-Cyrl-CS"/>
        </w:rPr>
        <w:t>основ за примену горе наведених макроекономских параметара</w:t>
      </w:r>
      <w:r w:rsidR="009D507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21475" w:rsidRDefault="007D0190" w:rsidP="000214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</w:t>
      </w:r>
      <w:r w:rsidR="00021475">
        <w:rPr>
          <w:rFonts w:ascii="TimesNewRomanPSMT" w:hAnsi="TimesNewRomanPSMT" w:cs="TimesNewRomanPSMT"/>
          <w:sz w:val="24"/>
          <w:szCs w:val="24"/>
        </w:rPr>
        <w:t>.</w:t>
      </w:r>
    </w:p>
    <w:p w:rsidR="007D0190" w:rsidRPr="007D0190" w:rsidRDefault="007D0190" w:rsidP="000214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596A3D" w:rsidRPr="002D08BC" w:rsidRDefault="00596A3D" w:rsidP="00A162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</w:pPr>
    </w:p>
    <w:p w:rsidR="00596A3D" w:rsidRDefault="00596A3D" w:rsidP="00A162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596A3D" w:rsidRDefault="00596A3D" w:rsidP="00A162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C93FB0" w:rsidRPr="000B4A8D" w:rsidRDefault="003A2FAA" w:rsidP="003A2F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</w:t>
      </w:r>
      <w:r w:rsidR="00C93FB0" w:rsidRPr="00C93FB0">
        <w:rPr>
          <w:rFonts w:ascii="Times New Roman" w:hAnsi="Times New Roman" w:cs="Times New Roman"/>
          <w:b/>
          <w:sz w:val="24"/>
          <w:szCs w:val="24"/>
          <w:lang w:val="sr-Cyrl-CS"/>
        </w:rPr>
        <w:t>4)</w:t>
      </w:r>
      <w:r w:rsidR="00C93F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67A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Обим средстава који може да садржи предлог финансијског плана за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="00296D42">
        <w:rPr>
          <w:rFonts w:ascii="Times New Roman" w:hAnsi="Times New Roman" w:cs="Times New Roman"/>
          <w:b/>
          <w:sz w:val="24"/>
          <w:szCs w:val="24"/>
          <w:lang w:val="sr-Cyrl-CS"/>
        </w:rPr>
        <w:t>201</w:t>
      </w:r>
      <w:r w:rsidR="002D08BC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296D42">
        <w:rPr>
          <w:rFonts w:ascii="Times New Roman" w:hAnsi="Times New Roman" w:cs="Times New Roman"/>
          <w:b/>
          <w:sz w:val="24"/>
          <w:szCs w:val="24"/>
          <w:lang w:val="sr-Cyrl-CS"/>
        </w:rPr>
        <w:t>.годину</w:t>
      </w:r>
      <w:r w:rsidR="000B4A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са пројекцијом за 202</w:t>
      </w:r>
      <w:r w:rsidR="002D08BC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0B4A8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2D08B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2022.</w:t>
      </w:r>
      <w:r w:rsidR="000B4A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="000B4A8D">
        <w:rPr>
          <w:rFonts w:ascii="Times New Roman" w:hAnsi="Times New Roman" w:cs="Times New Roman"/>
          <w:b/>
          <w:sz w:val="24"/>
          <w:szCs w:val="24"/>
        </w:rPr>
        <w:t>годину</w:t>
      </w:r>
      <w:proofErr w:type="spellEnd"/>
    </w:p>
    <w:p w:rsidR="00086000" w:rsidRDefault="00086000" w:rsidP="00A162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86000" w:rsidRDefault="00086000" w:rsidP="00A162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6000">
        <w:rPr>
          <w:rFonts w:ascii="Times New Roman" w:hAnsi="Times New Roman" w:cs="Times New Roman"/>
          <w:sz w:val="24"/>
          <w:szCs w:val="24"/>
          <w:lang w:val="sr-Cyrl-CS"/>
        </w:rPr>
        <w:t>Полазна ос</w:t>
      </w:r>
      <w:r w:rsidR="00296D42">
        <w:rPr>
          <w:rFonts w:ascii="Times New Roman" w:hAnsi="Times New Roman" w:cs="Times New Roman"/>
          <w:sz w:val="24"/>
          <w:szCs w:val="24"/>
          <w:lang w:val="sr-Cyrl-CS"/>
        </w:rPr>
        <w:t>нова за планирање буџета за 20</w:t>
      </w:r>
      <w:r w:rsidR="002D08BC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086000">
        <w:rPr>
          <w:rFonts w:ascii="Times New Roman" w:hAnsi="Times New Roman" w:cs="Times New Roman"/>
          <w:sz w:val="24"/>
          <w:szCs w:val="24"/>
          <w:lang w:val="sr-Cyrl-CS"/>
        </w:rPr>
        <w:t>.годину су остварени при</w:t>
      </w:r>
      <w:r w:rsidR="007547E0">
        <w:rPr>
          <w:rFonts w:ascii="Times New Roman" w:hAnsi="Times New Roman" w:cs="Times New Roman"/>
          <w:sz w:val="24"/>
          <w:szCs w:val="24"/>
          <w:lang w:val="sr-Cyrl-CS"/>
        </w:rPr>
        <w:t>ходи и примања као и и</w:t>
      </w:r>
      <w:r w:rsidRPr="00086000">
        <w:rPr>
          <w:rFonts w:ascii="Times New Roman" w:hAnsi="Times New Roman" w:cs="Times New Roman"/>
          <w:sz w:val="24"/>
          <w:szCs w:val="24"/>
          <w:lang w:val="sr-Cyrl-CS"/>
        </w:rPr>
        <w:t>звршен</w:t>
      </w:r>
      <w:r w:rsidR="00296D42">
        <w:rPr>
          <w:rFonts w:ascii="Times New Roman" w:hAnsi="Times New Roman" w:cs="Times New Roman"/>
          <w:sz w:val="24"/>
          <w:szCs w:val="24"/>
          <w:lang w:val="sr-Cyrl-CS"/>
        </w:rPr>
        <w:t xml:space="preserve">и расходи и издаци у првих </w:t>
      </w:r>
      <w:r w:rsidR="002D08BC">
        <w:rPr>
          <w:rFonts w:ascii="Times New Roman" w:hAnsi="Times New Roman" w:cs="Times New Roman"/>
          <w:sz w:val="24"/>
          <w:szCs w:val="24"/>
          <w:lang w:val="sr-Cyrl-CS"/>
        </w:rPr>
        <w:t>шест</w:t>
      </w:r>
      <w:r w:rsidR="00296D42">
        <w:rPr>
          <w:rFonts w:ascii="Times New Roman" w:hAnsi="Times New Roman" w:cs="Times New Roman"/>
          <w:sz w:val="24"/>
          <w:szCs w:val="24"/>
          <w:lang w:val="sr-Cyrl-CS"/>
        </w:rPr>
        <w:t xml:space="preserve"> месеци 201</w:t>
      </w:r>
      <w:r w:rsidR="002D08BC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086000">
        <w:rPr>
          <w:rFonts w:ascii="Times New Roman" w:hAnsi="Times New Roman" w:cs="Times New Roman"/>
          <w:sz w:val="24"/>
          <w:szCs w:val="24"/>
          <w:lang w:val="sr-Cyrl-CS"/>
        </w:rPr>
        <w:t>.године,као и процена остварењ</w:t>
      </w:r>
      <w:r w:rsidR="00296D42">
        <w:rPr>
          <w:rFonts w:ascii="Times New Roman" w:hAnsi="Times New Roman" w:cs="Times New Roman"/>
          <w:sz w:val="24"/>
          <w:szCs w:val="24"/>
          <w:lang w:val="sr-Cyrl-CS"/>
        </w:rPr>
        <w:t xml:space="preserve">а и извршења истих до краја </w:t>
      </w:r>
      <w:r w:rsidRPr="00086000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296D4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86000" w:rsidRDefault="00086000" w:rsidP="00A162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86000">
        <w:rPr>
          <w:rFonts w:ascii="Times New Roman" w:hAnsi="Times New Roman" w:cs="Times New Roman"/>
          <w:b/>
          <w:sz w:val="24"/>
          <w:szCs w:val="24"/>
          <w:lang w:val="sr-Cyrl-CS"/>
        </w:rPr>
        <w:t>Оби</w:t>
      </w:r>
      <w:r w:rsidR="00FE3A35">
        <w:rPr>
          <w:rFonts w:ascii="Times New Roman" w:hAnsi="Times New Roman" w:cs="Times New Roman"/>
          <w:b/>
          <w:sz w:val="24"/>
          <w:szCs w:val="24"/>
          <w:lang w:val="sr-Cyrl-CS"/>
        </w:rPr>
        <w:t>м финансијских средстава за 20</w:t>
      </w:r>
      <w:r w:rsidR="002D08BC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Pr="00086000">
        <w:rPr>
          <w:rFonts w:ascii="Times New Roman" w:hAnsi="Times New Roman" w:cs="Times New Roman"/>
          <w:b/>
          <w:sz w:val="24"/>
          <w:szCs w:val="24"/>
          <w:lang w:val="sr-Cyrl-CS"/>
        </w:rPr>
        <w:t>.годину буџетски корисници мо</w:t>
      </w:r>
      <w:r w:rsidR="00FE3A3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гу планирати са повећањем </w:t>
      </w:r>
      <w:r w:rsidR="00FE3A35" w:rsidRPr="00566B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</w:t>
      </w:r>
      <w:r w:rsidR="00566B07" w:rsidRPr="00566B07">
        <w:rPr>
          <w:rFonts w:ascii="Times New Roman" w:hAnsi="Times New Roman" w:cs="Times New Roman"/>
          <w:b/>
          <w:sz w:val="24"/>
          <w:szCs w:val="24"/>
        </w:rPr>
        <w:t>7.6</w:t>
      </w:r>
      <w:r w:rsidRPr="00566B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% </w:t>
      </w:r>
      <w:r w:rsidRPr="00086000">
        <w:rPr>
          <w:rFonts w:ascii="Times New Roman" w:hAnsi="Times New Roman" w:cs="Times New Roman"/>
          <w:b/>
          <w:sz w:val="24"/>
          <w:szCs w:val="24"/>
          <w:lang w:val="sr-Cyrl-CS"/>
        </w:rPr>
        <w:t>у односу на утвр</w:t>
      </w:r>
      <w:r w:rsidR="007547E0">
        <w:rPr>
          <w:rFonts w:ascii="Times New Roman" w:hAnsi="Times New Roman" w:cs="Times New Roman"/>
          <w:b/>
          <w:sz w:val="24"/>
          <w:szCs w:val="24"/>
          <w:lang w:val="sr-Cyrl-CS"/>
        </w:rPr>
        <w:t>ђену полазну основу</w:t>
      </w:r>
      <w:r w:rsidRPr="0008600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547E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547E0" w:rsidRPr="007547E0" w:rsidRDefault="007547E0" w:rsidP="00A162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47E0">
        <w:rPr>
          <w:rFonts w:ascii="Times New Roman" w:hAnsi="Times New Roman" w:cs="Times New Roman"/>
          <w:sz w:val="24"/>
          <w:szCs w:val="24"/>
          <w:lang w:val="sr-Cyrl-CS"/>
        </w:rPr>
        <w:t>Буџетски корисници општине Мионица су у обвези да при изради предлога финансијског плана за 20</w:t>
      </w:r>
      <w:r w:rsidR="00555AB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7547E0">
        <w:rPr>
          <w:rFonts w:ascii="Times New Roman" w:hAnsi="Times New Roman" w:cs="Times New Roman"/>
          <w:sz w:val="24"/>
          <w:szCs w:val="24"/>
          <w:lang w:val="sr-Cyrl-CS"/>
        </w:rPr>
        <w:t>.годину планирају расходе и издатке до нивоа утврђеним овим Упутством ,водећи рачуна при томе о донетим одлукама,уговореним обавезама.</w:t>
      </w:r>
    </w:p>
    <w:p w:rsidR="00086000" w:rsidRDefault="00086000" w:rsidP="00A162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A1EA0" w:rsidRPr="00AA1EA0" w:rsidRDefault="00AA1EA0" w:rsidP="00AA1EA0">
      <w:pPr>
        <w:autoSpaceDE w:val="0"/>
        <w:autoSpaceDN w:val="0"/>
        <w:adjustRightInd w:val="0"/>
        <w:ind w:left="56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A1EA0" w:rsidRPr="00AA1EA0" w:rsidRDefault="00AA1EA0" w:rsidP="00AA1EA0">
      <w:pPr>
        <w:autoSpaceDE w:val="0"/>
        <w:autoSpaceDN w:val="0"/>
        <w:adjustRightInd w:val="0"/>
        <w:ind w:left="56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A1EA0" w:rsidRDefault="00AA1EA0" w:rsidP="00AA1EA0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A1EA0" w:rsidRDefault="00AA1EA0" w:rsidP="00AA1EA0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A1EA0" w:rsidRDefault="00AA1EA0" w:rsidP="00AA1EA0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86000" w:rsidRDefault="00086000" w:rsidP="00267A34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67A34">
        <w:rPr>
          <w:rFonts w:ascii="Times New Roman" w:hAnsi="Times New Roman" w:cs="Times New Roman"/>
          <w:b/>
          <w:sz w:val="24"/>
          <w:szCs w:val="24"/>
          <w:lang w:val="sr-Cyrl-CS"/>
        </w:rPr>
        <w:t>Смернице за припрему сред</w:t>
      </w:r>
      <w:r w:rsidR="00267A34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Pr="00267A34">
        <w:rPr>
          <w:rFonts w:ascii="Times New Roman" w:hAnsi="Times New Roman" w:cs="Times New Roman"/>
          <w:b/>
          <w:sz w:val="24"/>
          <w:szCs w:val="24"/>
          <w:lang w:val="sr-Cyrl-CS"/>
        </w:rPr>
        <w:t>орочних планова  директних и индиректних корисника срдстава буџета општине Мионица</w:t>
      </w:r>
      <w:r w:rsidR="0017198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20</w:t>
      </w:r>
      <w:r w:rsidR="00555ABF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267A34">
        <w:rPr>
          <w:rFonts w:ascii="Times New Roman" w:hAnsi="Times New Roman" w:cs="Times New Roman"/>
          <w:b/>
          <w:sz w:val="24"/>
          <w:szCs w:val="24"/>
          <w:lang w:val="sr-Cyrl-CS"/>
        </w:rPr>
        <w:t>.годину</w:t>
      </w:r>
    </w:p>
    <w:p w:rsidR="00216BA0" w:rsidRDefault="00216BA0" w:rsidP="009A370D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16BA0" w:rsidRDefault="008B200B" w:rsidP="00216BA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216BA0">
        <w:rPr>
          <w:rFonts w:ascii="Times New Roman" w:hAnsi="Times New Roman" w:cs="Times New Roman"/>
          <w:b/>
          <w:sz w:val="24"/>
          <w:szCs w:val="24"/>
          <w:lang w:val="sr-Cyrl-CS"/>
        </w:rPr>
        <w:t>Група конта 41-Расходи за запослене</w:t>
      </w:r>
    </w:p>
    <w:p w:rsidR="008B200B" w:rsidRDefault="008B200B" w:rsidP="00254A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42614" w:rsidRPr="00B42614" w:rsidRDefault="00254AB9" w:rsidP="00B426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2D2E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2614">
        <w:rPr>
          <w:rFonts w:ascii="Times New Roman" w:hAnsi="Times New Roman" w:cs="Times New Roman"/>
          <w:sz w:val="24"/>
          <w:szCs w:val="24"/>
          <w:lang w:val="sr-Cyrl-CS"/>
        </w:rPr>
        <w:t>Корисник</w:t>
      </w:r>
      <w:r w:rsidR="00B42614" w:rsidRPr="00B42614">
        <w:rPr>
          <w:rFonts w:ascii="Times New Roman" w:hAnsi="Times New Roman" w:cs="Times New Roman"/>
          <w:sz w:val="24"/>
          <w:szCs w:val="24"/>
          <w:lang w:val="sr-Cyrl-CS"/>
        </w:rPr>
        <w:t xml:space="preserve"> у 2020. години може планирати укупна средства потребна за исплату плата запослених које се финансирају из буџета локалне власти, тако да масу средстава за исплату плата планирају на нивоу исплаћених плата у 2019. години, а највише до дозвољеног нивоа за исплату плата у складу са чланом 42. Закона о буџету Републике Србије за 2019. годину („Службени гласни РС”, бр. 95/2018).</w:t>
      </w:r>
    </w:p>
    <w:p w:rsidR="00B42614" w:rsidRPr="00B42614" w:rsidRDefault="00B42614" w:rsidP="00B426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261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Укупну масу средстава за плате треба умањити за плате запослених код корисника буџетских средстава које су се финансирале из буџета локалне власти 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42614">
        <w:rPr>
          <w:rFonts w:ascii="Times New Roman" w:hAnsi="Times New Roman" w:cs="Times New Roman"/>
          <w:sz w:val="24"/>
          <w:szCs w:val="24"/>
          <w:lang w:val="sr-Cyrl-CS"/>
        </w:rPr>
        <w:t>економских класификација 411 и 412, а више се не финансирају (због престанка рада корисника и сл.) односно за плате запослених који су радили код тих корисника, а који нису преузети у органе и службе управе или јавне службе чије се плате финансирају из буџета локалне власти на економским класификацијама 411 и 412.</w:t>
      </w:r>
    </w:p>
    <w:p w:rsidR="00B42614" w:rsidRDefault="00B42614" w:rsidP="00B426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2614">
        <w:rPr>
          <w:rFonts w:ascii="Times New Roman" w:hAnsi="Times New Roman" w:cs="Times New Roman"/>
          <w:sz w:val="24"/>
          <w:szCs w:val="24"/>
          <w:lang w:val="sr-Cyrl-CS"/>
        </w:rPr>
        <w:t>Средства за плате задржана су на нивоу средстава планираних Законом о буџету Републике Србије за 2019. годину, а евентуална корекција износа планираних средстава за плате извршиће се у току буџетске процедуре на основу ревидиране Фискалне стратегије, измена и допуна Закона о буџетском систему и процене потребних средстава за расходе за запослене за 2020. годину</w:t>
      </w:r>
    </w:p>
    <w:p w:rsidR="00555D54" w:rsidRDefault="00555D54" w:rsidP="00B426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41,као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претходним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исплате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предвуђених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појединачним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колективним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јубиларних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запослене</w:t>
      </w:r>
      <w:proofErr w:type="spellEnd"/>
      <w:r w:rsidR="00066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5C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066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5CB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066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5C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066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5CB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066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5CB">
        <w:rPr>
          <w:rFonts w:ascii="Times New Roman" w:hAnsi="Times New Roman" w:cs="Times New Roman"/>
          <w:sz w:val="24"/>
          <w:szCs w:val="24"/>
        </w:rPr>
        <w:t>стећи</w:t>
      </w:r>
      <w:proofErr w:type="spellEnd"/>
      <w:r w:rsidR="000665CB">
        <w:rPr>
          <w:rFonts w:ascii="Times New Roman" w:hAnsi="Times New Roman" w:cs="Times New Roman"/>
          <w:sz w:val="24"/>
          <w:szCs w:val="24"/>
        </w:rPr>
        <w:t xml:space="preserve"> у 20</w:t>
      </w:r>
      <w:r w:rsidR="00B42614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0665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665CB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="000665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5CB" w:rsidRPr="000665CB" w:rsidRDefault="000665CB" w:rsidP="009A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јубиларне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A4084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прецизно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84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планирати</w:t>
      </w:r>
      <w:proofErr w:type="spellEnd"/>
      <w:r w:rsidR="00A4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43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A4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43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="00A4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43"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 w:rsidR="00A4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43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="00A40843">
        <w:rPr>
          <w:rFonts w:ascii="Times New Roman" w:hAnsi="Times New Roman" w:cs="Times New Roman"/>
          <w:sz w:val="24"/>
          <w:szCs w:val="24"/>
        </w:rPr>
        <w:t>.</w:t>
      </w:r>
      <w:r w:rsidR="00B426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40843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A4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4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4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4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4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43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="00A4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43">
        <w:rPr>
          <w:rFonts w:ascii="Times New Roman" w:hAnsi="Times New Roman" w:cs="Times New Roman"/>
          <w:sz w:val="24"/>
          <w:szCs w:val="24"/>
        </w:rPr>
        <w:t>буџетски</w:t>
      </w:r>
      <w:proofErr w:type="spellEnd"/>
      <w:r w:rsidR="00A4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43">
        <w:rPr>
          <w:rFonts w:ascii="Times New Roman" w:hAnsi="Times New Roman" w:cs="Times New Roman"/>
          <w:sz w:val="24"/>
          <w:szCs w:val="24"/>
        </w:rPr>
        <w:t>корисник,у</w:t>
      </w:r>
      <w:proofErr w:type="spellEnd"/>
      <w:r w:rsidR="00A4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43">
        <w:rPr>
          <w:rFonts w:ascii="Times New Roman" w:hAnsi="Times New Roman" w:cs="Times New Roman"/>
          <w:sz w:val="24"/>
          <w:szCs w:val="24"/>
        </w:rPr>
        <w:t>образложењу</w:t>
      </w:r>
      <w:proofErr w:type="spellEnd"/>
      <w:r w:rsidR="00A4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43">
        <w:rPr>
          <w:rFonts w:ascii="Times New Roman" w:hAnsi="Times New Roman" w:cs="Times New Roman"/>
          <w:sz w:val="24"/>
          <w:szCs w:val="24"/>
        </w:rPr>
        <w:t>наведе</w:t>
      </w:r>
      <w:proofErr w:type="spellEnd"/>
      <w:r w:rsidR="00A4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4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A4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43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A4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4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4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4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40843">
        <w:rPr>
          <w:rFonts w:ascii="Times New Roman" w:hAnsi="Times New Roman" w:cs="Times New Roman"/>
          <w:sz w:val="24"/>
          <w:szCs w:val="24"/>
        </w:rPr>
        <w:t xml:space="preserve"> у 20</w:t>
      </w:r>
      <w:r w:rsidR="00B42614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A408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40843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="00A4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43">
        <w:rPr>
          <w:rFonts w:ascii="Times New Roman" w:hAnsi="Times New Roman" w:cs="Times New Roman"/>
          <w:sz w:val="24"/>
          <w:szCs w:val="24"/>
        </w:rPr>
        <w:t>остварити</w:t>
      </w:r>
      <w:proofErr w:type="spellEnd"/>
      <w:r w:rsidR="00A4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43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A4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4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43">
        <w:rPr>
          <w:rFonts w:ascii="Times New Roman" w:hAnsi="Times New Roman" w:cs="Times New Roman"/>
          <w:sz w:val="24"/>
          <w:szCs w:val="24"/>
        </w:rPr>
        <w:t>јубиларну</w:t>
      </w:r>
      <w:proofErr w:type="spellEnd"/>
      <w:r w:rsidR="00A4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43">
        <w:rPr>
          <w:rFonts w:ascii="Times New Roman" w:hAnsi="Times New Roman" w:cs="Times New Roman"/>
          <w:sz w:val="24"/>
          <w:szCs w:val="24"/>
        </w:rPr>
        <w:t>награду</w:t>
      </w:r>
      <w:proofErr w:type="spellEnd"/>
      <w:r w:rsidR="00A4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4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408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40843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="00A4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43">
        <w:rPr>
          <w:rFonts w:ascii="Times New Roman" w:hAnsi="Times New Roman" w:cs="Times New Roman"/>
          <w:sz w:val="24"/>
          <w:szCs w:val="24"/>
        </w:rPr>
        <w:t>износе</w:t>
      </w:r>
      <w:proofErr w:type="spellEnd"/>
      <w:r w:rsidR="00A4084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40843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A4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4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4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43">
        <w:rPr>
          <w:rFonts w:ascii="Times New Roman" w:hAnsi="Times New Roman" w:cs="Times New Roman"/>
          <w:sz w:val="24"/>
          <w:szCs w:val="24"/>
        </w:rPr>
        <w:t>важећим</w:t>
      </w:r>
      <w:proofErr w:type="spellEnd"/>
      <w:r w:rsidR="00A4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43">
        <w:rPr>
          <w:rFonts w:ascii="Times New Roman" w:hAnsi="Times New Roman" w:cs="Times New Roman"/>
          <w:sz w:val="24"/>
          <w:szCs w:val="24"/>
        </w:rPr>
        <w:t>колективним</w:t>
      </w:r>
      <w:proofErr w:type="spellEnd"/>
      <w:r w:rsidR="00A4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43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="00A40843">
        <w:rPr>
          <w:rFonts w:ascii="Times New Roman" w:hAnsi="Times New Roman" w:cs="Times New Roman"/>
          <w:sz w:val="24"/>
          <w:szCs w:val="24"/>
        </w:rPr>
        <w:t>.</w:t>
      </w:r>
    </w:p>
    <w:p w:rsidR="00485D9E" w:rsidRDefault="00485D9E" w:rsidP="00310343">
      <w:pPr>
        <w:ind w:firstLine="708"/>
        <w:jc w:val="both"/>
        <w:rPr>
          <w:rStyle w:val="fontstyle01"/>
          <w:lang w:val="sr-Cyrl-CS"/>
        </w:rPr>
      </w:pPr>
    </w:p>
    <w:p w:rsidR="00485D9E" w:rsidRPr="00B03F76" w:rsidRDefault="00D567EE" w:rsidP="00310343">
      <w:pPr>
        <w:ind w:firstLine="708"/>
        <w:jc w:val="both"/>
        <w:rPr>
          <w:rStyle w:val="fontstyle01"/>
          <w:b/>
          <w:lang w:val="sr-Cyrl-CS"/>
        </w:rPr>
      </w:pPr>
      <w:r>
        <w:rPr>
          <w:rStyle w:val="fontstyle01"/>
          <w:b/>
        </w:rPr>
        <w:t xml:space="preserve">    </w:t>
      </w:r>
      <w:r w:rsidR="00485D9E" w:rsidRPr="00B03F76">
        <w:rPr>
          <w:rStyle w:val="fontstyle01"/>
          <w:b/>
          <w:lang w:val="sr-Cyrl-CS"/>
        </w:rPr>
        <w:t>Група конта 42-Коришћење услуга и роба</w:t>
      </w:r>
    </w:p>
    <w:p w:rsidR="00485D9E" w:rsidRPr="00B03F76" w:rsidRDefault="00485D9E" w:rsidP="00310343">
      <w:pPr>
        <w:ind w:firstLine="708"/>
        <w:jc w:val="both"/>
        <w:rPr>
          <w:rStyle w:val="fontstyle01"/>
          <w:b/>
          <w:lang w:val="sr-Cyrl-CS"/>
        </w:rPr>
      </w:pPr>
    </w:p>
    <w:p w:rsidR="00B42614" w:rsidRPr="00B42614" w:rsidRDefault="00B42614" w:rsidP="00B4261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групе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конта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куповину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роба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услуга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потребно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реално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планирати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намене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у 2020.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водећи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рачуна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угрози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извршавање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сталних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трошкова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(421 -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Стални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трошкови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42614" w:rsidRPr="00B42614" w:rsidRDefault="00B42614" w:rsidP="00B4261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Препорука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буџетски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корисници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буџетској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преиспитају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потребу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смањења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накнада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обухваћене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уговори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делу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уговори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привремено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повременим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пословима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67E29" w:rsidRDefault="00B42614" w:rsidP="00B4261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Посебно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планирања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групе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конта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потребан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крајње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реалан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приступ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аспекта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роковима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измирења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новчаних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обавеза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комерцијалним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трансакцијама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РСˮ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2614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B42614">
        <w:rPr>
          <w:rFonts w:ascii="Times New Roman" w:hAnsi="Times New Roman" w:cs="Times New Roman"/>
          <w:color w:val="000000"/>
          <w:sz w:val="24"/>
          <w:szCs w:val="24"/>
        </w:rPr>
        <w:t>. 119/12, 68/15 и 113/17).</w:t>
      </w:r>
    </w:p>
    <w:p w:rsidR="00667E29" w:rsidRPr="00667E29" w:rsidRDefault="00667E29" w:rsidP="00485D9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00246B" w:rsidRDefault="00D567EE" w:rsidP="00D567E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00246B" w:rsidRPr="0000246B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Група конта 45-Субвенције и група конта 62-Набавка финансијске имовине</w:t>
      </w:r>
    </w:p>
    <w:p w:rsidR="0000246B" w:rsidRPr="0000246B" w:rsidRDefault="0000246B" w:rsidP="00485D9E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485D9E" w:rsidRPr="00B03F76" w:rsidRDefault="00485D9E" w:rsidP="00485D9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субвенција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буџетских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неопходно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преиспитати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програме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којих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додељују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субвенције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буџетски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кредити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, с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обзиром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даље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фискалне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консолидације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подразумевају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рационално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субвенција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буџетских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5D9E" w:rsidRDefault="00485D9E" w:rsidP="00485D9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планирања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субвенције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њихових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намена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посебно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имати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виду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прописе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тичу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државне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370D" w:rsidRPr="009A370D" w:rsidRDefault="009A370D" w:rsidP="00485D9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485D9E" w:rsidRPr="00B03F76" w:rsidRDefault="00485D9E" w:rsidP="00485D9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03F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Група</w:t>
      </w:r>
      <w:proofErr w:type="spellEnd"/>
      <w:r w:rsidRPr="00B03F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конта</w:t>
      </w:r>
      <w:proofErr w:type="spellEnd"/>
      <w:r w:rsidRPr="00B03F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 – </w:t>
      </w:r>
      <w:proofErr w:type="spellStart"/>
      <w:r w:rsidRPr="00B03F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Остали</w:t>
      </w:r>
      <w:proofErr w:type="spellEnd"/>
      <w:r w:rsidRPr="00B03F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расходи</w:t>
      </w:r>
      <w:proofErr w:type="spellEnd"/>
    </w:p>
    <w:p w:rsidR="00485D9E" w:rsidRPr="00B03F76" w:rsidRDefault="00485D9E" w:rsidP="00485D9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расходе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такође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планирати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рестриктивном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политиком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спроводи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одрживог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нивоа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дефицита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планирања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наведених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расхода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имати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виду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услед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недовољног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економској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класификацији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483 –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Новчане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казне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пенали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решењу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судова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иста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повећава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смањењем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осталих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економских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класификација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наведеног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неопходно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прилагодити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преузимање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обавеза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како</w:t>
      </w:r>
      <w:proofErr w:type="spellEnd"/>
      <w:r w:rsidR="002119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тај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спречило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стварање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доцњи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5D9E" w:rsidRPr="00B03F76" w:rsidRDefault="00485D9E" w:rsidP="00485D9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транспарентнијег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приказивања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намењених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финансирање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редовног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политичких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субјеката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финансирању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политичких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активности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потребно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опису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апропријације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економске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класификације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481 –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Дотације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невладиним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организацијама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посебно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исказати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наведену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F76">
        <w:rPr>
          <w:rFonts w:ascii="Times New Roman" w:hAnsi="Times New Roman" w:cs="Times New Roman"/>
          <w:color w:val="000000"/>
          <w:sz w:val="24"/>
          <w:szCs w:val="24"/>
        </w:rPr>
        <w:t>намену</w:t>
      </w:r>
      <w:proofErr w:type="spellEnd"/>
      <w:r w:rsidRPr="00B03F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752F" w:rsidRPr="004B752F" w:rsidRDefault="004B752F" w:rsidP="00485D9E">
      <w:pPr>
        <w:ind w:firstLine="708"/>
        <w:jc w:val="both"/>
        <w:rPr>
          <w:rStyle w:val="fontstyle01"/>
          <w:lang w:val="sr-Cyrl-CS"/>
        </w:rPr>
      </w:pPr>
    </w:p>
    <w:p w:rsidR="00B2648A" w:rsidRPr="00647B2E" w:rsidRDefault="00B2648A" w:rsidP="00B2648A">
      <w:pPr>
        <w:ind w:firstLine="708"/>
        <w:jc w:val="both"/>
        <w:rPr>
          <w:b/>
          <w:bCs/>
          <w:color w:val="000000"/>
        </w:rPr>
      </w:pPr>
      <w:proofErr w:type="spellStart"/>
      <w:r>
        <w:rPr>
          <w:rFonts w:ascii="TimesNewRomanPS-BoldMT" w:hAnsi="TimesNewRomanPS-BoldMT"/>
          <w:b/>
          <w:bCs/>
          <w:color w:val="000000"/>
        </w:rPr>
        <w:t>Смернице</w:t>
      </w:r>
      <w:proofErr w:type="spellEnd"/>
      <w:r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</w:rPr>
        <w:t>за</w:t>
      </w:r>
      <w:proofErr w:type="spellEnd"/>
      <w:r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</w:rPr>
        <w:t>исказивање</w:t>
      </w:r>
      <w:proofErr w:type="spellEnd"/>
      <w:r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</w:rPr>
        <w:t>издата</w:t>
      </w:r>
      <w:r w:rsidR="00211908">
        <w:rPr>
          <w:rFonts w:ascii="TimesNewRomanPS-BoldMT" w:hAnsi="TimesNewRomanPS-BoldMT"/>
          <w:b/>
          <w:bCs/>
          <w:color w:val="000000"/>
        </w:rPr>
        <w:t>ка</w:t>
      </w:r>
      <w:proofErr w:type="spellEnd"/>
      <w:r w:rsidR="00211908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="00211908">
        <w:rPr>
          <w:rFonts w:ascii="TimesNewRomanPS-BoldMT" w:hAnsi="TimesNewRomanPS-BoldMT"/>
          <w:b/>
          <w:bCs/>
          <w:color w:val="000000"/>
        </w:rPr>
        <w:t>за</w:t>
      </w:r>
      <w:proofErr w:type="spellEnd"/>
      <w:r w:rsidR="00211908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="00211908">
        <w:rPr>
          <w:rFonts w:ascii="TimesNewRomanPS-BoldMT" w:hAnsi="TimesNewRomanPS-BoldMT"/>
          <w:b/>
          <w:bCs/>
          <w:color w:val="000000"/>
        </w:rPr>
        <w:t>к</w:t>
      </w:r>
      <w:r w:rsidR="003B47F9">
        <w:rPr>
          <w:rFonts w:ascii="TimesNewRomanPS-BoldMT" w:hAnsi="TimesNewRomanPS-BoldMT"/>
          <w:b/>
          <w:bCs/>
          <w:color w:val="000000"/>
        </w:rPr>
        <w:t>апиталне</w:t>
      </w:r>
      <w:proofErr w:type="spellEnd"/>
      <w:r w:rsidR="003B47F9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="003B47F9">
        <w:rPr>
          <w:rFonts w:ascii="TimesNewRomanPS-BoldMT" w:hAnsi="TimesNewRomanPS-BoldMT"/>
          <w:b/>
          <w:bCs/>
          <w:color w:val="000000"/>
        </w:rPr>
        <w:t>пројекте</w:t>
      </w:r>
      <w:proofErr w:type="spellEnd"/>
      <w:r w:rsidR="003B47F9">
        <w:rPr>
          <w:rFonts w:ascii="TimesNewRomanPS-BoldMT" w:hAnsi="TimesNewRomanPS-BoldMT"/>
          <w:b/>
          <w:bCs/>
          <w:color w:val="000000"/>
        </w:rPr>
        <w:t xml:space="preserve"> </w:t>
      </w:r>
    </w:p>
    <w:p w:rsidR="004B752F" w:rsidRPr="004B752F" w:rsidRDefault="004B752F" w:rsidP="00B2648A">
      <w:pPr>
        <w:ind w:firstLine="708"/>
        <w:jc w:val="both"/>
        <w:rPr>
          <w:rFonts w:ascii="TimesNewRomanPS-BoldMT" w:hAnsi="TimesNewRomanPS-BoldMT"/>
          <w:b/>
          <w:bCs/>
          <w:color w:val="000000"/>
          <w:lang w:val="sr-Cyrl-CS"/>
        </w:rPr>
      </w:pPr>
    </w:p>
    <w:p w:rsidR="00B2648A" w:rsidRPr="00B2648A" w:rsidRDefault="004B752F" w:rsidP="00485D9E">
      <w:pPr>
        <w:ind w:firstLine="708"/>
        <w:jc w:val="both"/>
        <w:rPr>
          <w:rFonts w:ascii="TimesNewRomanPSMT" w:hAnsi="TimesNewRomanPSMT"/>
          <w:color w:val="000000"/>
          <w:sz w:val="24"/>
          <w:szCs w:val="24"/>
          <w:lang w:val="sr-Cyrl-CS"/>
        </w:rPr>
      </w:pPr>
      <w:proofErr w:type="spellStart"/>
      <w:r w:rsidRPr="00FC78C2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FC78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b/>
          <w:sz w:val="24"/>
          <w:szCs w:val="24"/>
        </w:rPr>
        <w:t>административне</w:t>
      </w:r>
      <w:proofErr w:type="spellEnd"/>
      <w:r w:rsidRPr="00FC78C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78C2">
        <w:rPr>
          <w:rFonts w:ascii="Times New Roman" w:hAnsi="Times New Roman" w:cs="Times New Roman"/>
          <w:b/>
          <w:sz w:val="24"/>
          <w:szCs w:val="24"/>
        </w:rPr>
        <w:t>канцеларијске</w:t>
      </w:r>
      <w:proofErr w:type="spellEnd"/>
      <w:r w:rsidRPr="00FC78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b/>
          <w:sz w:val="24"/>
          <w:szCs w:val="24"/>
        </w:rPr>
        <w:t>опреме</w:t>
      </w:r>
      <w:proofErr w:type="spellEnd"/>
      <w:r w:rsidRPr="00FC78C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78C2">
        <w:rPr>
          <w:rFonts w:ascii="Times New Roman" w:hAnsi="Times New Roman" w:cs="Times New Roman"/>
          <w:b/>
          <w:sz w:val="24"/>
          <w:szCs w:val="24"/>
        </w:rPr>
        <w:t>аутомобила</w:t>
      </w:r>
      <w:proofErr w:type="spellEnd"/>
      <w:r w:rsidRPr="00FC78C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C78C2">
        <w:rPr>
          <w:rFonts w:ascii="Times New Roman" w:hAnsi="Times New Roman" w:cs="Times New Roman"/>
          <w:b/>
          <w:sz w:val="24"/>
          <w:szCs w:val="24"/>
        </w:rPr>
        <w:t>осталих</w:t>
      </w:r>
      <w:proofErr w:type="spellEnd"/>
      <w:r w:rsidR="007939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b/>
          <w:sz w:val="24"/>
          <w:szCs w:val="24"/>
        </w:rPr>
        <w:t>основних</w:t>
      </w:r>
      <w:proofErr w:type="spellEnd"/>
      <w:r w:rsidR="007939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spellEnd"/>
      <w:r w:rsidRPr="00FC78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C78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b/>
          <w:sz w:val="24"/>
          <w:szCs w:val="24"/>
        </w:rPr>
        <w:t>редован</w:t>
      </w:r>
      <w:proofErr w:type="spellEnd"/>
      <w:r w:rsidRPr="00FC78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b/>
          <w:sz w:val="24"/>
          <w:szCs w:val="24"/>
        </w:rPr>
        <w:t>рад</w:t>
      </w:r>
      <w:proofErr w:type="spellEnd"/>
      <w:r w:rsidRPr="00FC78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b/>
          <w:sz w:val="24"/>
          <w:szCs w:val="24"/>
        </w:rPr>
        <w:t>потребно</w:t>
      </w:r>
      <w:proofErr w:type="spellEnd"/>
      <w:r w:rsidRPr="00FC78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FC78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b/>
          <w:sz w:val="24"/>
          <w:szCs w:val="24"/>
        </w:rPr>
        <w:t>планирати</w:t>
      </w:r>
      <w:proofErr w:type="spellEnd"/>
      <w:r w:rsidRPr="00FC78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b/>
          <w:sz w:val="24"/>
          <w:szCs w:val="24"/>
        </w:rPr>
        <w:t>уз</w:t>
      </w:r>
      <w:proofErr w:type="spellEnd"/>
      <w:r w:rsidRPr="00FC78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b/>
          <w:sz w:val="24"/>
          <w:szCs w:val="24"/>
        </w:rPr>
        <w:t>максималне</w:t>
      </w:r>
      <w:proofErr w:type="spellEnd"/>
      <w:r w:rsidRPr="00FC78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b/>
          <w:sz w:val="24"/>
          <w:szCs w:val="24"/>
        </w:rPr>
        <w:t>уштеде</w:t>
      </w:r>
      <w:proofErr w:type="spellEnd"/>
      <w:r w:rsidRPr="00FC78C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78C2">
        <w:rPr>
          <w:rFonts w:ascii="Times New Roman" w:hAnsi="Times New Roman" w:cs="Times New Roman"/>
          <w:b/>
          <w:sz w:val="24"/>
          <w:szCs w:val="24"/>
        </w:rPr>
        <w:t>тако</w:t>
      </w:r>
      <w:proofErr w:type="spellEnd"/>
      <w:r w:rsidRPr="00FC78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FC78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FC78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b/>
          <w:sz w:val="24"/>
          <w:szCs w:val="24"/>
        </w:rPr>
        <w:t>само</w:t>
      </w:r>
      <w:proofErr w:type="spellEnd"/>
      <w:r w:rsidRPr="00FC78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b/>
          <w:sz w:val="24"/>
          <w:szCs w:val="24"/>
        </w:rPr>
        <w:t>врше</w:t>
      </w:r>
      <w:proofErr w:type="spellEnd"/>
      <w:r w:rsidR="007939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FC78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spellEnd"/>
      <w:r w:rsidRPr="00FC78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b/>
          <w:sz w:val="24"/>
          <w:szCs w:val="24"/>
        </w:rPr>
        <w:t>неопходних</w:t>
      </w:r>
      <w:proofErr w:type="spellEnd"/>
      <w:r w:rsidRPr="00FC78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C78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b/>
          <w:sz w:val="24"/>
          <w:szCs w:val="24"/>
        </w:rPr>
        <w:t>рад</w:t>
      </w:r>
      <w:proofErr w:type="spellEnd"/>
      <w:r w:rsidRPr="00FC78C2">
        <w:rPr>
          <w:rFonts w:ascii="Times New Roman" w:hAnsi="Times New Roman" w:cs="Times New Roman"/>
          <w:b/>
          <w:sz w:val="24"/>
          <w:szCs w:val="24"/>
        </w:rPr>
        <w:t>.</w:t>
      </w:r>
    </w:p>
    <w:p w:rsidR="004B752F" w:rsidRPr="004B752F" w:rsidRDefault="00936BDF" w:rsidP="004B752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52F">
        <w:rPr>
          <w:rFonts w:ascii="TimesNewRomanPSMT" w:hAnsi="TimesNewRomanPSMT" w:cs="TimesNewRomanPSMT"/>
          <w:sz w:val="24"/>
          <w:szCs w:val="24"/>
        </w:rPr>
        <w:t xml:space="preserve">  </w:t>
      </w:r>
      <w:proofErr w:type="spellStart"/>
      <w:r w:rsidR="004B752F" w:rsidRPr="004B752F">
        <w:rPr>
          <w:rFonts w:ascii="Times New Roman" w:hAnsi="Times New Roman" w:cs="Times New Roman"/>
          <w:sz w:val="24"/>
          <w:szCs w:val="24"/>
        </w:rPr>
        <w:t>Важно</w:t>
      </w:r>
      <w:proofErr w:type="spellEnd"/>
      <w:r w:rsidR="004B752F" w:rsidRPr="004B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52F" w:rsidRPr="004B75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B752F" w:rsidRPr="004B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52F" w:rsidRPr="004B75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B752F" w:rsidRPr="004B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52F" w:rsidRPr="004B752F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="004B752F" w:rsidRPr="004B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52F" w:rsidRPr="004B752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4B752F" w:rsidRPr="004B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52F" w:rsidRPr="004B752F">
        <w:rPr>
          <w:rFonts w:ascii="Times New Roman" w:hAnsi="Times New Roman" w:cs="Times New Roman"/>
          <w:sz w:val="24"/>
          <w:szCs w:val="24"/>
        </w:rPr>
        <w:t>исказују</w:t>
      </w:r>
      <w:proofErr w:type="spellEnd"/>
      <w:r w:rsidR="004B752F" w:rsidRPr="004B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52F" w:rsidRPr="004B752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4B752F" w:rsidRPr="004B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52F" w:rsidRPr="004B752F">
        <w:rPr>
          <w:rFonts w:ascii="Times New Roman" w:hAnsi="Times New Roman" w:cs="Times New Roman"/>
          <w:sz w:val="24"/>
          <w:szCs w:val="24"/>
        </w:rPr>
        <w:t>капиталне</w:t>
      </w:r>
      <w:proofErr w:type="spellEnd"/>
      <w:r w:rsidR="004B752F" w:rsidRPr="004B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52F" w:rsidRPr="004B752F">
        <w:rPr>
          <w:rFonts w:ascii="Times New Roman" w:hAnsi="Times New Roman" w:cs="Times New Roman"/>
          <w:sz w:val="24"/>
          <w:szCs w:val="24"/>
        </w:rPr>
        <w:t>издатке</w:t>
      </w:r>
      <w:proofErr w:type="spellEnd"/>
      <w:r w:rsidR="004B752F" w:rsidRPr="004B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52F" w:rsidRPr="004B752F">
        <w:rPr>
          <w:rFonts w:ascii="Times New Roman" w:hAnsi="Times New Roman" w:cs="Times New Roman"/>
          <w:sz w:val="24"/>
          <w:szCs w:val="24"/>
        </w:rPr>
        <w:t>текуће</w:t>
      </w:r>
      <w:proofErr w:type="spellEnd"/>
      <w:r w:rsidR="004B752F" w:rsidRPr="004B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52F" w:rsidRPr="004B752F">
        <w:rPr>
          <w:rFonts w:ascii="Times New Roman" w:hAnsi="Times New Roman" w:cs="Times New Roman"/>
          <w:sz w:val="24"/>
          <w:szCs w:val="24"/>
        </w:rPr>
        <w:t>поправке</w:t>
      </w:r>
      <w:proofErr w:type="spellEnd"/>
      <w:r w:rsidR="004B752F" w:rsidRPr="004B752F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4B752F" w:rsidRDefault="004B752F" w:rsidP="004B75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4B752F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4B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2F"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 w:rsidRPr="004B75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52F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4B75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752F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4B75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52F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4B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B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2F">
        <w:rPr>
          <w:rFonts w:ascii="Times New Roman" w:hAnsi="Times New Roman" w:cs="Times New Roman"/>
          <w:sz w:val="24"/>
          <w:szCs w:val="24"/>
        </w:rPr>
        <w:t>расходе</w:t>
      </w:r>
      <w:proofErr w:type="spellEnd"/>
      <w:r w:rsidRPr="004B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B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2F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4B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2F">
        <w:rPr>
          <w:rFonts w:ascii="Times New Roman" w:hAnsi="Times New Roman" w:cs="Times New Roman"/>
          <w:sz w:val="24"/>
          <w:szCs w:val="24"/>
        </w:rPr>
        <w:t>намене</w:t>
      </w:r>
      <w:proofErr w:type="spellEnd"/>
      <w:r w:rsidRPr="004B75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75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B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2F">
        <w:rPr>
          <w:rFonts w:ascii="Times New Roman" w:hAnsi="Times New Roman" w:cs="Times New Roman"/>
          <w:sz w:val="24"/>
          <w:szCs w:val="24"/>
        </w:rPr>
        <w:t>молерске</w:t>
      </w:r>
      <w:proofErr w:type="spellEnd"/>
      <w:r w:rsidRPr="004B75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52F">
        <w:rPr>
          <w:rFonts w:ascii="Times New Roman" w:hAnsi="Times New Roman" w:cs="Times New Roman"/>
          <w:sz w:val="24"/>
          <w:szCs w:val="24"/>
        </w:rPr>
        <w:t>зидарске</w:t>
      </w:r>
      <w:proofErr w:type="spellEnd"/>
      <w:r w:rsidRPr="004B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2F">
        <w:rPr>
          <w:rFonts w:ascii="Times New Roman" w:hAnsi="Times New Roman" w:cs="Times New Roman"/>
          <w:sz w:val="24"/>
          <w:szCs w:val="24"/>
        </w:rPr>
        <w:t>радове,поправке</w:t>
      </w:r>
      <w:proofErr w:type="spellEnd"/>
      <w:r w:rsidRPr="004B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2F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Pr="004B75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752F">
        <w:rPr>
          <w:rFonts w:ascii="Times New Roman" w:hAnsi="Times New Roman" w:cs="Times New Roman"/>
          <w:sz w:val="24"/>
          <w:szCs w:val="24"/>
        </w:rPr>
        <w:t>електричне</w:t>
      </w:r>
      <w:proofErr w:type="spellEnd"/>
      <w:r w:rsidRPr="004B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2F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4B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2F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Pr="004B752F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4B752F">
        <w:rPr>
          <w:rFonts w:ascii="Times New Roman" w:hAnsi="Times New Roman" w:cs="Times New Roman"/>
          <w:sz w:val="24"/>
          <w:szCs w:val="24"/>
        </w:rPr>
        <w:t>планирају</w:t>
      </w:r>
      <w:proofErr w:type="spellEnd"/>
      <w:r w:rsidRPr="004B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2F">
        <w:rPr>
          <w:rFonts w:ascii="Times New Roman" w:hAnsi="Times New Roman" w:cs="Times New Roman"/>
          <w:sz w:val="24"/>
          <w:szCs w:val="24"/>
        </w:rPr>
        <w:t>апропријацији</w:t>
      </w:r>
      <w:proofErr w:type="spellEnd"/>
      <w:r w:rsidRPr="004B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2F">
        <w:rPr>
          <w:rFonts w:ascii="Times New Roman" w:hAnsi="Times New Roman" w:cs="Times New Roman"/>
          <w:sz w:val="24"/>
          <w:szCs w:val="24"/>
        </w:rPr>
        <w:t>економскекласификације</w:t>
      </w:r>
      <w:proofErr w:type="spellEnd"/>
      <w:r w:rsidRPr="004B752F">
        <w:rPr>
          <w:rFonts w:ascii="Times New Roman" w:hAnsi="Times New Roman" w:cs="Times New Roman"/>
          <w:sz w:val="24"/>
          <w:szCs w:val="24"/>
        </w:rPr>
        <w:t xml:space="preserve"> 425 – </w:t>
      </w:r>
      <w:proofErr w:type="spellStart"/>
      <w:r w:rsidRPr="004B752F">
        <w:rPr>
          <w:rFonts w:ascii="Times New Roman" w:hAnsi="Times New Roman" w:cs="Times New Roman"/>
          <w:sz w:val="24"/>
          <w:szCs w:val="24"/>
        </w:rPr>
        <w:t>Текуће</w:t>
      </w:r>
      <w:proofErr w:type="spellEnd"/>
      <w:r w:rsidRPr="004B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2F">
        <w:rPr>
          <w:rFonts w:ascii="Times New Roman" w:hAnsi="Times New Roman" w:cs="Times New Roman"/>
          <w:sz w:val="24"/>
          <w:szCs w:val="24"/>
        </w:rPr>
        <w:t>поправке</w:t>
      </w:r>
      <w:proofErr w:type="spellEnd"/>
      <w:r w:rsidRPr="004B75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752F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4B75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52F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4B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2F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4B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B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2F">
        <w:rPr>
          <w:rFonts w:ascii="Times New Roman" w:hAnsi="Times New Roman" w:cs="Times New Roman"/>
          <w:sz w:val="24"/>
          <w:szCs w:val="24"/>
        </w:rPr>
        <w:t>капиталне</w:t>
      </w:r>
      <w:proofErr w:type="spellEnd"/>
      <w:r w:rsidRPr="004B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2F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Pr="004B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2F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4B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2F">
        <w:rPr>
          <w:rFonts w:ascii="Times New Roman" w:hAnsi="Times New Roman" w:cs="Times New Roman"/>
          <w:sz w:val="24"/>
          <w:szCs w:val="24"/>
        </w:rPr>
        <w:t>дапланирају</w:t>
      </w:r>
      <w:proofErr w:type="spellEnd"/>
      <w:r w:rsidRPr="004B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2F">
        <w:rPr>
          <w:rFonts w:ascii="Times New Roman" w:hAnsi="Times New Roman" w:cs="Times New Roman"/>
          <w:sz w:val="24"/>
          <w:szCs w:val="24"/>
        </w:rPr>
        <w:t>контима</w:t>
      </w:r>
      <w:proofErr w:type="spellEnd"/>
      <w:r w:rsidRPr="004B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2F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4B752F">
        <w:rPr>
          <w:rFonts w:ascii="Times New Roman" w:hAnsi="Times New Roman" w:cs="Times New Roman"/>
          <w:sz w:val="24"/>
          <w:szCs w:val="24"/>
        </w:rPr>
        <w:t xml:space="preserve"> 51, 52 и 54</w:t>
      </w:r>
      <w:r w:rsidRPr="00FC78C2">
        <w:rPr>
          <w:rFonts w:ascii="Times New Roman" w:hAnsi="Times New Roman" w:cs="Times New Roman"/>
          <w:sz w:val="24"/>
          <w:szCs w:val="24"/>
        </w:rPr>
        <w:t>.</w:t>
      </w:r>
    </w:p>
    <w:p w:rsidR="00505F22" w:rsidRPr="00505F22" w:rsidRDefault="00505F22" w:rsidP="004B75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48DF" w:rsidRDefault="00505F22" w:rsidP="00505F2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  <w:r w:rsidRPr="00505F22">
        <w:rPr>
          <w:rFonts w:ascii="Times New Roman" w:hAnsi="Times New Roman" w:cs="Times New Roman"/>
          <w:b/>
          <w:sz w:val="24"/>
          <w:szCs w:val="24"/>
          <w:lang w:val="sr-Cyrl-CS"/>
        </w:rPr>
        <w:t>Капитални пројекти и њихов значај</w:t>
      </w:r>
    </w:p>
    <w:p w:rsidR="00505F22" w:rsidRPr="00505F22" w:rsidRDefault="00505F22" w:rsidP="00505F2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B752F" w:rsidRPr="00FC78C2" w:rsidRDefault="00505F22" w:rsidP="00505F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proofErr w:type="spellStart"/>
      <w:r w:rsidR="004B752F" w:rsidRPr="00FC78C2">
        <w:rPr>
          <w:rFonts w:ascii="Times New Roman" w:hAnsi="Times New Roman" w:cs="Times New Roman"/>
          <w:sz w:val="24"/>
          <w:szCs w:val="24"/>
        </w:rPr>
        <w:t>Капитални</w:t>
      </w:r>
      <w:proofErr w:type="spellEnd"/>
      <w:r w:rsidR="004B752F" w:rsidRPr="00FC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52F" w:rsidRPr="00FC78C2">
        <w:rPr>
          <w:rFonts w:ascii="Times New Roman" w:hAnsi="Times New Roman" w:cs="Times New Roman"/>
          <w:sz w:val="24"/>
          <w:szCs w:val="24"/>
        </w:rPr>
        <w:t>пројекти</w:t>
      </w:r>
      <w:proofErr w:type="spellEnd"/>
      <w:r w:rsidR="004B752F" w:rsidRPr="00FC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52F" w:rsidRPr="00FC78C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4B752F" w:rsidRPr="00FC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52F" w:rsidRPr="00FC78C2">
        <w:rPr>
          <w:rFonts w:ascii="Times New Roman" w:hAnsi="Times New Roman" w:cs="Times New Roman"/>
          <w:sz w:val="24"/>
          <w:szCs w:val="24"/>
        </w:rPr>
        <w:t>пројекти</w:t>
      </w:r>
      <w:proofErr w:type="spellEnd"/>
      <w:r w:rsidR="004B752F" w:rsidRPr="00FC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52F" w:rsidRPr="00FC78C2">
        <w:rPr>
          <w:rFonts w:ascii="Times New Roman" w:hAnsi="Times New Roman" w:cs="Times New Roman"/>
          <w:sz w:val="24"/>
          <w:szCs w:val="24"/>
        </w:rPr>
        <w:t>изградње</w:t>
      </w:r>
      <w:proofErr w:type="spellEnd"/>
      <w:r w:rsidR="004B752F" w:rsidRPr="00FC78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B752F" w:rsidRPr="00FC78C2">
        <w:rPr>
          <w:rFonts w:ascii="Times New Roman" w:hAnsi="Times New Roman" w:cs="Times New Roman"/>
          <w:sz w:val="24"/>
          <w:szCs w:val="24"/>
        </w:rPr>
        <w:t>капиталног</w:t>
      </w:r>
      <w:proofErr w:type="spellEnd"/>
      <w:r w:rsidR="004B752F" w:rsidRPr="00FC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52F" w:rsidRPr="00FC78C2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="004B752F" w:rsidRPr="00FC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52F" w:rsidRPr="00FC78C2"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 w:rsidR="004B752F" w:rsidRPr="00FC78C2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4B752F" w:rsidRDefault="004B752F" w:rsidP="004B75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8C2">
        <w:rPr>
          <w:rFonts w:ascii="Times New Roman" w:hAnsi="Times New Roman" w:cs="Times New Roman"/>
          <w:sz w:val="24"/>
          <w:szCs w:val="24"/>
        </w:rPr>
        <w:t>грађевинских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инфраструктуре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локалну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власт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="00793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793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пројектног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планирања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обезбеђивање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 и</w:t>
      </w:r>
      <w:r w:rsidR="00793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пројекти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подразумевају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улагања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опрему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машине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другу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нефинансијску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>, а у</w:t>
      </w:r>
      <w:r w:rsidR="00793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функцији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Капиталним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пројектима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увећава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имовина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3736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изградње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капиталног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="003736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грађевинских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инфраструктуре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улагања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опрему,машине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другу</w:t>
      </w:r>
      <w:proofErr w:type="spellEnd"/>
      <w:r w:rsidR="003736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нефинансијску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8C2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FC78C2">
        <w:rPr>
          <w:rFonts w:ascii="Times New Roman" w:hAnsi="Times New Roman" w:cs="Times New Roman"/>
          <w:sz w:val="24"/>
          <w:szCs w:val="24"/>
        </w:rPr>
        <w:t>.</w:t>
      </w:r>
    </w:p>
    <w:p w:rsidR="004B752F" w:rsidRPr="004B752F" w:rsidRDefault="004B752F" w:rsidP="00A162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24B1" w:rsidRPr="009D3616" w:rsidRDefault="00E924B1" w:rsidP="00566B07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1E772F" w:rsidRDefault="00D567EE" w:rsidP="00D567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1E772F" w:rsidRPr="001E772F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Планирање издатака капиталног пројекта</w:t>
      </w:r>
    </w:p>
    <w:p w:rsidR="00130DAD" w:rsidRDefault="00130DAD" w:rsidP="00E924B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0F42BB" w:rsidRDefault="000F42BB" w:rsidP="00B95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ефикаснијег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капиталних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</w:p>
    <w:p w:rsidR="000F42BB" w:rsidRDefault="000F42BB" w:rsidP="00B95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</w:p>
    <w:p w:rsidR="001E772F" w:rsidRPr="000F42BB" w:rsidRDefault="000F42BB" w:rsidP="00B95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попуњене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и 2а.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капиталних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табелама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искажу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трећем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четвртом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E772F" w:rsidRPr="00374601" w:rsidRDefault="000F42BB" w:rsidP="00B95B38">
      <w:pPr>
        <w:autoSpaceDE w:val="0"/>
        <w:autoSpaceDN w:val="0"/>
        <w:adjustRightInd w:val="0"/>
        <w:spacing w:after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1E772F" w:rsidRPr="0037460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издатке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пројектно-техничке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конту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5114 (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иста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израђена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E772F" w:rsidRPr="00374601" w:rsidRDefault="000F42BB" w:rsidP="00B95B38">
      <w:pPr>
        <w:autoSpaceDE w:val="0"/>
        <w:autoSpaceDN w:val="0"/>
        <w:adjustRightInd w:val="0"/>
        <w:spacing w:after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1E772F" w:rsidRPr="0037460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издатке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експропријацију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конту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5411; </w:t>
      </w:r>
    </w:p>
    <w:p w:rsidR="001E772F" w:rsidRPr="00374601" w:rsidRDefault="000F42BB" w:rsidP="00B95B38">
      <w:pPr>
        <w:autoSpaceDE w:val="0"/>
        <w:autoSpaceDN w:val="0"/>
        <w:adjustRightInd w:val="0"/>
        <w:spacing w:after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1E772F" w:rsidRPr="0037460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издатке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капиталном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одржавању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контима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5112 и 5113; </w:t>
      </w:r>
    </w:p>
    <w:p w:rsidR="001E772F" w:rsidRDefault="000F42BB" w:rsidP="00B95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1E772F" w:rsidRPr="0037460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издатке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ангажовање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конту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5114 (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планирани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инвеститора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неки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72F" w:rsidRPr="00374601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1E772F" w:rsidRPr="0037460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F628E" w:rsidRDefault="000F42BB" w:rsidP="007939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</w:p>
    <w:p w:rsidR="006F628E" w:rsidRDefault="000F42BB" w:rsidP="00B95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proofErr w:type="spellStart"/>
      <w:r w:rsidR="006F628E">
        <w:rPr>
          <w:rFonts w:ascii="Times New Roman" w:hAnsi="Times New Roman" w:cs="Times New Roman"/>
          <w:sz w:val="24"/>
          <w:szCs w:val="24"/>
        </w:rPr>
        <w:t>Директни</w:t>
      </w:r>
      <w:proofErr w:type="spellEnd"/>
      <w:r w:rsidR="006F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28E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="006F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28E"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 w:rsidR="006F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28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6F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28E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="006F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28E">
        <w:rPr>
          <w:rFonts w:ascii="Times New Roman" w:hAnsi="Times New Roman" w:cs="Times New Roman"/>
          <w:sz w:val="24"/>
          <w:szCs w:val="24"/>
        </w:rPr>
        <w:t>рангирају</w:t>
      </w:r>
      <w:proofErr w:type="spellEnd"/>
      <w:r w:rsidR="006F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28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6F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28E">
        <w:rPr>
          <w:rFonts w:ascii="Times New Roman" w:hAnsi="Times New Roman" w:cs="Times New Roman"/>
          <w:sz w:val="24"/>
          <w:szCs w:val="24"/>
        </w:rPr>
        <w:t>приоритетима</w:t>
      </w:r>
      <w:proofErr w:type="spellEnd"/>
    </w:p>
    <w:p w:rsidR="006F628E" w:rsidRDefault="006F628E" w:rsidP="00B95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свеобухватне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утврдити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</w:p>
    <w:p w:rsidR="006F628E" w:rsidRDefault="006F628E" w:rsidP="00B95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релевантности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стратешких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садашњу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рентабилности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повраћаја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улагања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коефицијент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потенцијалних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ефекат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друштвени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економски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одрживи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приоритет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започети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628E" w:rsidRDefault="006F628E" w:rsidP="00B95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капиталних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значајна</w:t>
      </w:r>
      <w:proofErr w:type="spellEnd"/>
    </w:p>
    <w:p w:rsidR="006F628E" w:rsidRDefault="006F628E" w:rsidP="00B95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благовремена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пролази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фазе</w:t>
      </w:r>
      <w:proofErr w:type="spellEnd"/>
    </w:p>
    <w:p w:rsidR="006F628E" w:rsidRDefault="006F628E" w:rsidP="00B95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предлагања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прединвестиционе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укључивања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F628E" w:rsidRDefault="006F628E" w:rsidP="00B95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инвестиционе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прединвестиционе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капиталних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изводљивости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оправданости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генералним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изводљивости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оправданости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идејним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планирају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инвестиционе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минималном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5%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капиталне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капиталних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628E" w:rsidRDefault="006F628E" w:rsidP="00B95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пројектно-техничке</w:t>
      </w:r>
      <w:proofErr w:type="spellEnd"/>
    </w:p>
    <w:p w:rsidR="006F628E" w:rsidRDefault="006F628E" w:rsidP="00B95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ангажовање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</w:p>
    <w:p w:rsidR="006F628E" w:rsidRDefault="006F628E" w:rsidP="00B95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обезбедио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редовног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5B38" w:rsidRPr="00566B07" w:rsidRDefault="00B95B38" w:rsidP="00566B07">
      <w:pPr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B95B38" w:rsidRPr="00B95B38" w:rsidRDefault="00B95B38" w:rsidP="00AA1170">
      <w:pPr>
        <w:pStyle w:val="ListParagraph"/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AA1170" w:rsidRPr="0061376A" w:rsidRDefault="0061376A" w:rsidP="0061376A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1376A">
        <w:rPr>
          <w:rFonts w:ascii="Times New Roman" w:hAnsi="Times New Roman" w:cs="Times New Roman"/>
          <w:b/>
          <w:bCs/>
          <w:sz w:val="24"/>
          <w:szCs w:val="24"/>
        </w:rPr>
        <w:t>Поступак</w:t>
      </w:r>
      <w:proofErr w:type="spellEnd"/>
      <w:r w:rsidRPr="0061376A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61376A">
        <w:rPr>
          <w:rFonts w:ascii="Times New Roman" w:hAnsi="Times New Roman" w:cs="Times New Roman"/>
          <w:b/>
          <w:bCs/>
          <w:sz w:val="24"/>
          <w:szCs w:val="24"/>
        </w:rPr>
        <w:t>динамика</w:t>
      </w:r>
      <w:proofErr w:type="spellEnd"/>
      <w:r w:rsidRPr="00613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376A">
        <w:rPr>
          <w:rFonts w:ascii="Times New Roman" w:hAnsi="Times New Roman" w:cs="Times New Roman"/>
          <w:b/>
          <w:bCs/>
          <w:sz w:val="24"/>
          <w:szCs w:val="24"/>
        </w:rPr>
        <w:t>достављања</w:t>
      </w:r>
      <w:proofErr w:type="spellEnd"/>
      <w:r w:rsidR="000F42BB" w:rsidRPr="0061376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proofErr w:type="spellStart"/>
      <w:r w:rsidRPr="0061376A">
        <w:rPr>
          <w:rFonts w:ascii="Times New Roman" w:hAnsi="Times New Roman" w:cs="Times New Roman"/>
          <w:b/>
          <w:bCs/>
          <w:sz w:val="24"/>
          <w:szCs w:val="24"/>
        </w:rPr>
        <w:t>предлога</w:t>
      </w:r>
      <w:proofErr w:type="spellEnd"/>
      <w:r w:rsidRPr="0061376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61376A">
        <w:rPr>
          <w:rFonts w:ascii="Times New Roman" w:hAnsi="Times New Roman" w:cs="Times New Roman"/>
          <w:b/>
          <w:bCs/>
          <w:sz w:val="24"/>
          <w:szCs w:val="24"/>
        </w:rPr>
        <w:t>финансијског</w:t>
      </w:r>
      <w:proofErr w:type="spellEnd"/>
      <w:r w:rsidRPr="00613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376A">
        <w:rPr>
          <w:rFonts w:ascii="Times New Roman" w:hAnsi="Times New Roman" w:cs="Times New Roman"/>
          <w:b/>
          <w:bCs/>
          <w:sz w:val="24"/>
          <w:szCs w:val="24"/>
        </w:rPr>
        <w:t>плана</w:t>
      </w:r>
      <w:proofErr w:type="spellEnd"/>
      <w:r w:rsidRPr="00613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376A">
        <w:rPr>
          <w:rFonts w:ascii="Times New Roman" w:hAnsi="Times New Roman" w:cs="Times New Roman"/>
          <w:b/>
          <w:bCs/>
          <w:sz w:val="24"/>
          <w:szCs w:val="24"/>
        </w:rPr>
        <w:t>буџетских</w:t>
      </w:r>
      <w:proofErr w:type="spellEnd"/>
      <w:r w:rsidRPr="00613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376A">
        <w:rPr>
          <w:rFonts w:ascii="Times New Roman" w:hAnsi="Times New Roman" w:cs="Times New Roman"/>
          <w:b/>
          <w:bCs/>
          <w:sz w:val="24"/>
          <w:szCs w:val="24"/>
        </w:rPr>
        <w:t>корисника</w:t>
      </w:r>
      <w:proofErr w:type="spellEnd"/>
    </w:p>
    <w:p w:rsidR="00AA1170" w:rsidRDefault="00AA1170" w:rsidP="00AA1170">
      <w:pPr>
        <w:ind w:firstLine="708"/>
        <w:jc w:val="both"/>
        <w:rPr>
          <w:sz w:val="24"/>
          <w:szCs w:val="24"/>
        </w:rPr>
      </w:pPr>
    </w:p>
    <w:p w:rsidR="00F91943" w:rsidRPr="00F91943" w:rsidRDefault="00F91943" w:rsidP="00F919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919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Предлог</w:t>
      </w:r>
      <w:proofErr w:type="spellEnd"/>
      <w:r w:rsidRPr="00F919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финансијског</w:t>
      </w:r>
      <w:proofErr w:type="spellEnd"/>
      <w:r w:rsidRPr="00F919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плана</w:t>
      </w:r>
      <w:proofErr w:type="spellEnd"/>
      <w:r w:rsidRPr="00F919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састоји</w:t>
      </w:r>
      <w:proofErr w:type="spellEnd"/>
      <w:r w:rsidRPr="00F919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се</w:t>
      </w:r>
      <w:proofErr w:type="spellEnd"/>
      <w:r w:rsidRPr="00F919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од</w:t>
      </w:r>
      <w:proofErr w:type="spellEnd"/>
      <w:r w:rsidRPr="00F919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</w:p>
    <w:p w:rsidR="00F91943" w:rsidRPr="00F91943" w:rsidRDefault="00F91943" w:rsidP="00F9194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proofErr w:type="spellStart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Обрасци</w:t>
      </w:r>
      <w:proofErr w:type="spellEnd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програмски</w:t>
      </w:r>
      <w:proofErr w:type="spellEnd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буџет</w:t>
      </w:r>
      <w:proofErr w:type="spellEnd"/>
    </w:p>
    <w:p w:rsidR="00F91943" w:rsidRPr="00F91943" w:rsidRDefault="00F91943" w:rsidP="00F9194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proofErr w:type="spellStart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Прилог</w:t>
      </w:r>
      <w:proofErr w:type="spellEnd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1- </w:t>
      </w:r>
      <w:proofErr w:type="spellStart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Преглед</w:t>
      </w:r>
      <w:proofErr w:type="spellEnd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броја</w:t>
      </w:r>
      <w:proofErr w:type="spellEnd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запослених</w:t>
      </w:r>
      <w:proofErr w:type="spellEnd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средства</w:t>
      </w:r>
      <w:proofErr w:type="spellEnd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плате</w:t>
      </w:r>
      <w:proofErr w:type="spellEnd"/>
    </w:p>
    <w:p w:rsidR="00F91943" w:rsidRPr="00F91943" w:rsidRDefault="00B42614" w:rsidP="00F9194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F91943"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F91943"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Табела</w:t>
      </w:r>
      <w:proofErr w:type="spellEnd"/>
      <w:r w:rsidR="00F91943"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91943"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прихода</w:t>
      </w:r>
      <w:proofErr w:type="spellEnd"/>
      <w:r w:rsidR="00F91943"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F91943"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примања</w:t>
      </w:r>
      <w:proofErr w:type="spellEnd"/>
    </w:p>
    <w:p w:rsidR="00F91943" w:rsidRPr="00F91943" w:rsidRDefault="00B42614" w:rsidP="00F9194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</w:t>
      </w:r>
      <w:r w:rsidR="00F91943"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F91943"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Табела</w:t>
      </w:r>
      <w:proofErr w:type="spellEnd"/>
      <w:r w:rsidR="00F91943"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91943"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расхода</w:t>
      </w:r>
      <w:proofErr w:type="spellEnd"/>
      <w:r w:rsidR="00F91943"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F91943"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издатака</w:t>
      </w:r>
      <w:proofErr w:type="spellEnd"/>
    </w:p>
    <w:p w:rsidR="00F91943" w:rsidRDefault="00B42614" w:rsidP="00F91943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="00F91943"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F91943" w:rsidRPr="000643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Детаљно</w:t>
      </w:r>
      <w:proofErr w:type="spellEnd"/>
      <w:r w:rsidR="00F91943" w:rsidRPr="000643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91943" w:rsidRPr="000643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писано</w:t>
      </w:r>
      <w:proofErr w:type="spellEnd"/>
      <w:r w:rsidR="00F91943" w:rsidRPr="000643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91943" w:rsidRPr="000643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образложење</w:t>
      </w:r>
      <w:proofErr w:type="spellEnd"/>
      <w:r w:rsidR="00F91943"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91943"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расхода</w:t>
      </w:r>
      <w:proofErr w:type="spellEnd"/>
      <w:r w:rsidR="00F91943"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F91943"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издатака</w:t>
      </w:r>
      <w:proofErr w:type="spellEnd"/>
      <w:r w:rsidR="00F91943"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91943"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="00F91943"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F91943"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извора</w:t>
      </w:r>
      <w:proofErr w:type="spellEnd"/>
      <w:r w:rsidR="00F91943"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91943"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финансирања;</w:t>
      </w:r>
      <w:r w:rsidR="00F91943" w:rsidRPr="00F91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за</w:t>
      </w:r>
      <w:proofErr w:type="spellEnd"/>
      <w:r w:rsidR="00F91943" w:rsidRPr="00F91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 </w:t>
      </w:r>
      <w:proofErr w:type="spellStart"/>
      <w:r w:rsidR="00F91943" w:rsidRPr="00F91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све</w:t>
      </w:r>
      <w:proofErr w:type="spellEnd"/>
      <w:r w:rsidR="00F91943" w:rsidRPr="00F91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 </w:t>
      </w:r>
      <w:proofErr w:type="spellStart"/>
      <w:r w:rsidR="00F91943" w:rsidRPr="00F91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врсте</w:t>
      </w:r>
      <w:proofErr w:type="spellEnd"/>
      <w:r w:rsidR="00F91943" w:rsidRPr="00F91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 </w:t>
      </w:r>
      <w:proofErr w:type="spellStart"/>
      <w:r w:rsidR="00F91943" w:rsidRPr="00F91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трошкова</w:t>
      </w:r>
      <w:proofErr w:type="spellEnd"/>
      <w:r w:rsidR="00F91943" w:rsidRPr="00F91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 и </w:t>
      </w:r>
      <w:proofErr w:type="spellStart"/>
      <w:r w:rsidR="00F91943" w:rsidRPr="00F91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издатака</w:t>
      </w:r>
      <w:proofErr w:type="spellEnd"/>
      <w:r w:rsidR="00F91943" w:rsidRPr="00F91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 (</w:t>
      </w:r>
      <w:proofErr w:type="spellStart"/>
      <w:r w:rsidR="00F91943" w:rsidRPr="00F91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навести</w:t>
      </w:r>
      <w:proofErr w:type="spellEnd"/>
      <w:r w:rsidR="00F91943" w:rsidRPr="00F91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 </w:t>
      </w:r>
      <w:proofErr w:type="spellStart"/>
      <w:r w:rsidR="00F91943" w:rsidRPr="00F91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конкретно</w:t>
      </w:r>
      <w:proofErr w:type="spellEnd"/>
      <w:r w:rsidR="00F91943" w:rsidRPr="00F91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 </w:t>
      </w:r>
      <w:proofErr w:type="spellStart"/>
      <w:r w:rsidR="00F91943" w:rsidRPr="00F91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за</w:t>
      </w:r>
      <w:proofErr w:type="spellEnd"/>
      <w:r w:rsidR="00F91943" w:rsidRPr="00F91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 </w:t>
      </w:r>
      <w:proofErr w:type="spellStart"/>
      <w:r w:rsidR="00F91943" w:rsidRPr="00F91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шта</w:t>
      </w:r>
      <w:proofErr w:type="spellEnd"/>
      <w:r w:rsidR="00F91943" w:rsidRPr="00F91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 </w:t>
      </w:r>
      <w:proofErr w:type="spellStart"/>
      <w:r w:rsidR="00F91943" w:rsidRPr="00F91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ће</w:t>
      </w:r>
      <w:proofErr w:type="spellEnd"/>
      <w:r w:rsidR="00F91943" w:rsidRPr="00F91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 </w:t>
      </w:r>
      <w:proofErr w:type="spellStart"/>
      <w:r w:rsidR="00F91943" w:rsidRPr="00F91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се</w:t>
      </w:r>
      <w:proofErr w:type="spellEnd"/>
      <w:r w:rsidR="00F91943" w:rsidRPr="00F91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 </w:t>
      </w:r>
      <w:proofErr w:type="spellStart"/>
      <w:r w:rsidR="00F91943" w:rsidRPr="00F91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трошити</w:t>
      </w:r>
      <w:proofErr w:type="spellEnd"/>
      <w:r w:rsidR="00F91943" w:rsidRPr="00F91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 </w:t>
      </w:r>
      <w:proofErr w:type="spellStart"/>
      <w:r w:rsidR="00F91943" w:rsidRPr="00F91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средства</w:t>
      </w:r>
      <w:proofErr w:type="spellEnd"/>
      <w:r w:rsidR="00F91943" w:rsidRPr="00F91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, а </w:t>
      </w:r>
      <w:proofErr w:type="spellStart"/>
      <w:r w:rsidR="00F91943" w:rsidRPr="00F91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не</w:t>
      </w:r>
      <w:proofErr w:type="spellEnd"/>
      <w:r w:rsidR="00F91943" w:rsidRPr="00F91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 </w:t>
      </w:r>
      <w:proofErr w:type="spellStart"/>
      <w:r w:rsidR="00F91943" w:rsidRPr="00F91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само</w:t>
      </w:r>
      <w:proofErr w:type="spellEnd"/>
      <w:r w:rsidR="00F91943" w:rsidRPr="00F91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 </w:t>
      </w:r>
      <w:proofErr w:type="spellStart"/>
      <w:r w:rsidR="00F91943" w:rsidRPr="00F91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називе</w:t>
      </w:r>
      <w:proofErr w:type="spellEnd"/>
      <w:r w:rsidR="00F91943" w:rsidRPr="00F91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 </w:t>
      </w:r>
      <w:proofErr w:type="spellStart"/>
      <w:r w:rsidR="00F91943" w:rsidRPr="00F91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конта</w:t>
      </w:r>
      <w:proofErr w:type="spellEnd"/>
      <w:r w:rsidR="00F91943" w:rsidRPr="00F91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)</w:t>
      </w:r>
    </w:p>
    <w:p w:rsidR="009C563A" w:rsidRDefault="00B42614" w:rsidP="00F91943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CS"/>
        </w:rPr>
        <w:t>6</w:t>
      </w:r>
      <w:r w:rsidR="009C5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)</w:t>
      </w:r>
      <w:proofErr w:type="spellStart"/>
      <w:r w:rsidR="009C5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Образац</w:t>
      </w:r>
      <w:proofErr w:type="spellEnd"/>
      <w:r w:rsidR="009C5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 </w:t>
      </w:r>
      <w:proofErr w:type="spellStart"/>
      <w:r w:rsidR="009C5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за</w:t>
      </w:r>
      <w:proofErr w:type="spellEnd"/>
      <w:r w:rsidR="009C5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 </w:t>
      </w:r>
      <w:proofErr w:type="spellStart"/>
      <w:r w:rsidR="009C5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полугодишњи</w:t>
      </w:r>
      <w:proofErr w:type="spellEnd"/>
      <w:r w:rsidR="009C5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 </w:t>
      </w:r>
      <w:proofErr w:type="spellStart"/>
      <w:r w:rsidR="009C5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извештај</w:t>
      </w:r>
      <w:proofErr w:type="spellEnd"/>
      <w:r w:rsidR="009C5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 о </w:t>
      </w:r>
      <w:proofErr w:type="spellStart"/>
      <w:r w:rsidR="009C5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учинку</w:t>
      </w:r>
      <w:proofErr w:type="spellEnd"/>
      <w:r w:rsidR="009C5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 </w:t>
      </w:r>
      <w:proofErr w:type="spellStart"/>
      <w:r w:rsidR="009C5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програма</w:t>
      </w:r>
      <w:proofErr w:type="spellEnd"/>
      <w:r w:rsidR="009C5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 </w:t>
      </w:r>
      <w:proofErr w:type="spellStart"/>
      <w:r w:rsidR="009C5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за</w:t>
      </w:r>
      <w:proofErr w:type="spellEnd"/>
      <w:r w:rsidR="009C5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CS"/>
        </w:rPr>
        <w:t>19</w:t>
      </w:r>
      <w:r w:rsidR="009C5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.</w:t>
      </w:r>
      <w:proofErr w:type="spellStart"/>
      <w:r w:rsidR="009C5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годину</w:t>
      </w:r>
      <w:proofErr w:type="spellEnd"/>
    </w:p>
    <w:p w:rsidR="00275F3E" w:rsidRPr="00275F3E" w:rsidRDefault="00B42614" w:rsidP="00F91943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CS"/>
        </w:rPr>
        <w:t>7</w:t>
      </w:r>
      <w:r w:rsidR="00275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)</w:t>
      </w:r>
      <w:proofErr w:type="spellStart"/>
      <w:r w:rsidR="00275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Образац</w:t>
      </w:r>
      <w:proofErr w:type="spellEnd"/>
      <w:r w:rsidR="00275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  </w:t>
      </w:r>
      <w:proofErr w:type="spellStart"/>
      <w:r w:rsidR="00275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за</w:t>
      </w:r>
      <w:proofErr w:type="spellEnd"/>
      <w:r w:rsidR="00275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 </w:t>
      </w:r>
      <w:proofErr w:type="spellStart"/>
      <w:r w:rsidR="00275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предлагање</w:t>
      </w:r>
      <w:proofErr w:type="spellEnd"/>
      <w:r w:rsidR="00275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  </w:t>
      </w:r>
      <w:proofErr w:type="spellStart"/>
      <w:r w:rsidR="00275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идеје</w:t>
      </w:r>
      <w:proofErr w:type="spellEnd"/>
      <w:r w:rsidR="00275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 </w:t>
      </w:r>
      <w:proofErr w:type="spellStart"/>
      <w:r w:rsidR="00275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капиталног</w:t>
      </w:r>
      <w:proofErr w:type="spellEnd"/>
      <w:r w:rsidR="00275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  </w:t>
      </w:r>
      <w:proofErr w:type="spellStart"/>
      <w:r w:rsidR="00275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пројекта</w:t>
      </w:r>
      <w:proofErr w:type="spellEnd"/>
      <w:r w:rsidR="00275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 –</w:t>
      </w:r>
      <w:proofErr w:type="spellStart"/>
      <w:r w:rsidR="00275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Образац</w:t>
      </w:r>
      <w:proofErr w:type="spellEnd"/>
      <w:r w:rsidR="00275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 КИ</w:t>
      </w:r>
    </w:p>
    <w:p w:rsidR="00F91943" w:rsidRPr="00F91943" w:rsidRDefault="00F91943" w:rsidP="00566B0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943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F91943">
        <w:rPr>
          <w:rFonts w:ascii="Times New Roman" w:hAnsi="Times New Roman" w:cs="Times New Roman"/>
          <w:sz w:val="24"/>
          <w:szCs w:val="24"/>
        </w:rPr>
        <w:t xml:space="preserve"> 112. </w:t>
      </w:r>
      <w:proofErr w:type="spellStart"/>
      <w:r w:rsidRPr="00F9194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F9194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91943">
        <w:rPr>
          <w:rFonts w:ascii="Times New Roman" w:hAnsi="Times New Roman" w:cs="Times New Roman"/>
          <w:sz w:val="24"/>
          <w:szCs w:val="24"/>
        </w:rPr>
        <w:t>буџетском</w:t>
      </w:r>
      <w:proofErr w:type="spellEnd"/>
      <w:r w:rsidRPr="00F91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F91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F91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91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91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91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91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F91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F9194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91943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F91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F91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Pr="00F91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91943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Pr="00F91943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F91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sz w:val="24"/>
          <w:szCs w:val="24"/>
        </w:rPr>
        <w:t>уводи</w:t>
      </w:r>
      <w:proofErr w:type="spellEnd"/>
      <w:r w:rsidRPr="00F91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sz w:val="24"/>
          <w:szCs w:val="24"/>
        </w:rPr>
        <w:t>програмски</w:t>
      </w:r>
      <w:proofErr w:type="spellEnd"/>
      <w:r w:rsidRPr="00F91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F91943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F91943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F91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F91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F91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F91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F91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F91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91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b/>
          <w:bCs/>
          <w:sz w:val="24"/>
          <w:szCs w:val="24"/>
        </w:rPr>
        <w:t>предл</w:t>
      </w:r>
      <w:r w:rsidR="005B54BE">
        <w:rPr>
          <w:rFonts w:ascii="Times New Roman" w:hAnsi="Times New Roman" w:cs="Times New Roman"/>
          <w:b/>
          <w:bCs/>
          <w:sz w:val="24"/>
          <w:szCs w:val="24"/>
        </w:rPr>
        <w:t>оге</w:t>
      </w:r>
      <w:proofErr w:type="spellEnd"/>
      <w:r w:rsidR="005B5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54BE">
        <w:rPr>
          <w:rFonts w:ascii="Times New Roman" w:hAnsi="Times New Roman" w:cs="Times New Roman"/>
          <w:b/>
          <w:bCs/>
          <w:sz w:val="24"/>
          <w:szCs w:val="24"/>
        </w:rPr>
        <w:t>финансијских</w:t>
      </w:r>
      <w:proofErr w:type="spellEnd"/>
      <w:r w:rsidR="005B5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54BE">
        <w:rPr>
          <w:rFonts w:ascii="Times New Roman" w:hAnsi="Times New Roman" w:cs="Times New Roman"/>
          <w:b/>
          <w:bCs/>
          <w:sz w:val="24"/>
          <w:szCs w:val="24"/>
        </w:rPr>
        <w:t>планова</w:t>
      </w:r>
      <w:proofErr w:type="spellEnd"/>
      <w:r w:rsidR="005B5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54BE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5B54BE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B4261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</w:t>
      </w:r>
      <w:r w:rsidRPr="00F9194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F91943">
        <w:rPr>
          <w:rFonts w:ascii="Times New Roman" w:hAnsi="Times New Roman" w:cs="Times New Roman"/>
          <w:b/>
          <w:bCs/>
          <w:sz w:val="24"/>
          <w:szCs w:val="24"/>
        </w:rPr>
        <w:t>годину</w:t>
      </w:r>
      <w:proofErr w:type="spellEnd"/>
      <w:r w:rsidRPr="00F919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b/>
          <w:bCs/>
          <w:sz w:val="24"/>
          <w:szCs w:val="24"/>
        </w:rPr>
        <w:t>припреме</w:t>
      </w:r>
      <w:proofErr w:type="spellEnd"/>
      <w:r w:rsidRPr="00F9194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F91943">
        <w:rPr>
          <w:rFonts w:ascii="Times New Roman" w:hAnsi="Times New Roman" w:cs="Times New Roman"/>
          <w:b/>
          <w:bCs/>
          <w:sz w:val="24"/>
          <w:szCs w:val="24"/>
        </w:rPr>
        <w:t>као</w:t>
      </w:r>
      <w:proofErr w:type="spellEnd"/>
      <w:r w:rsidRPr="00F919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b/>
          <w:bCs/>
          <w:sz w:val="24"/>
          <w:szCs w:val="24"/>
        </w:rPr>
        <w:t>саставног</w:t>
      </w:r>
      <w:proofErr w:type="spellEnd"/>
      <w:r w:rsidRPr="00F919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b/>
          <w:bCs/>
          <w:sz w:val="24"/>
          <w:szCs w:val="24"/>
        </w:rPr>
        <w:t>дела</w:t>
      </w:r>
      <w:proofErr w:type="spellEnd"/>
      <w:r w:rsidRPr="00F919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b/>
          <w:bCs/>
          <w:sz w:val="24"/>
          <w:szCs w:val="24"/>
        </w:rPr>
        <w:t>програма</w:t>
      </w:r>
      <w:proofErr w:type="spellEnd"/>
      <w:r w:rsidRPr="00F919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b/>
          <w:bCs/>
          <w:sz w:val="24"/>
          <w:szCs w:val="24"/>
        </w:rPr>
        <w:t>пословања</w:t>
      </w:r>
      <w:proofErr w:type="spellEnd"/>
      <w:r w:rsidRPr="00F91943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F91943">
        <w:rPr>
          <w:rFonts w:ascii="Times New Roman" w:hAnsi="Times New Roman" w:cs="Times New Roman"/>
          <w:b/>
          <w:bCs/>
          <w:sz w:val="24"/>
          <w:szCs w:val="24"/>
        </w:rPr>
        <w:t>рада</w:t>
      </w:r>
      <w:proofErr w:type="spellEnd"/>
      <w:r w:rsidRPr="00F91943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F91943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spellEnd"/>
      <w:r w:rsidRPr="00F919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b/>
          <w:bCs/>
          <w:sz w:val="24"/>
          <w:szCs w:val="24"/>
        </w:rPr>
        <w:t>програмском</w:t>
      </w:r>
      <w:proofErr w:type="spellEnd"/>
      <w:r w:rsidRPr="00F919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b/>
          <w:bCs/>
          <w:sz w:val="24"/>
          <w:szCs w:val="24"/>
        </w:rPr>
        <w:t>моделу</w:t>
      </w:r>
      <w:proofErr w:type="spellEnd"/>
      <w:r w:rsidRPr="00F9194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F237E0" w:rsidRDefault="00F91943" w:rsidP="00F919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Упућујемо</w:t>
      </w:r>
      <w:proofErr w:type="spellEnd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кориснике</w:t>
      </w:r>
      <w:proofErr w:type="spellEnd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буџета</w:t>
      </w:r>
      <w:proofErr w:type="spellEnd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Општине</w:t>
      </w:r>
      <w:proofErr w:type="spellEnd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194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Мионица</w:t>
      </w:r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proofErr w:type="spellEnd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страници</w:t>
      </w:r>
      <w:proofErr w:type="spellEnd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Министарства</w:t>
      </w:r>
      <w:proofErr w:type="spellEnd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финансија</w:t>
      </w:r>
      <w:proofErr w:type="spellEnd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општине</w:t>
      </w:r>
      <w:proofErr w:type="spellEnd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194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Мионица</w:t>
      </w:r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налази</w:t>
      </w:r>
      <w:proofErr w:type="spellEnd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Упутство</w:t>
      </w:r>
      <w:proofErr w:type="spellEnd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израду</w:t>
      </w:r>
      <w:proofErr w:type="spellEnd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програмског</w:t>
      </w:r>
      <w:proofErr w:type="spellEnd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буџета</w:t>
      </w:r>
      <w:proofErr w:type="spellEnd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које</w:t>
      </w:r>
      <w:proofErr w:type="spellEnd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потребно</w:t>
      </w:r>
      <w:proofErr w:type="spellEnd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користити</w:t>
      </w:r>
      <w:proofErr w:type="spellEnd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припрему</w:t>
      </w:r>
      <w:proofErr w:type="spellEnd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предл</w:t>
      </w:r>
      <w:r w:rsidR="009C563A">
        <w:rPr>
          <w:rFonts w:ascii="Times New Roman" w:hAnsi="Times New Roman" w:cs="Times New Roman"/>
          <w:color w:val="000000" w:themeColor="text1"/>
          <w:sz w:val="24"/>
          <w:szCs w:val="24"/>
        </w:rPr>
        <w:t>ога</w:t>
      </w:r>
      <w:proofErr w:type="spellEnd"/>
      <w:r w:rsidR="009C5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563A">
        <w:rPr>
          <w:rFonts w:ascii="Times New Roman" w:hAnsi="Times New Roman" w:cs="Times New Roman"/>
          <w:color w:val="000000" w:themeColor="text1"/>
          <w:sz w:val="24"/>
          <w:szCs w:val="24"/>
        </w:rPr>
        <w:t>финансијских</w:t>
      </w:r>
      <w:proofErr w:type="spellEnd"/>
      <w:r w:rsidR="009C5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563A">
        <w:rPr>
          <w:rFonts w:ascii="Times New Roman" w:hAnsi="Times New Roman" w:cs="Times New Roman"/>
          <w:color w:val="000000" w:themeColor="text1"/>
          <w:sz w:val="24"/>
          <w:szCs w:val="24"/>
        </w:rPr>
        <w:t>планова</w:t>
      </w:r>
      <w:proofErr w:type="spellEnd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1170" w:rsidRPr="00AB495B" w:rsidRDefault="008548AF" w:rsidP="00F237E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4F81BD" w:themeColor="accent1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Упутство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F23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237E0">
        <w:rPr>
          <w:rFonts w:ascii="Times New Roman" w:hAnsi="Times New Roman" w:cs="Times New Roman"/>
          <w:color w:val="000000" w:themeColor="text1"/>
          <w:sz w:val="24"/>
          <w:szCs w:val="24"/>
        </w:rPr>
        <w:t>припрему</w:t>
      </w:r>
      <w:proofErr w:type="spellEnd"/>
      <w:r w:rsidR="00F23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237E0">
        <w:rPr>
          <w:rFonts w:ascii="Times New Roman" w:hAnsi="Times New Roman" w:cs="Times New Roman"/>
          <w:color w:val="000000" w:themeColor="text1"/>
          <w:sz w:val="24"/>
          <w:szCs w:val="24"/>
        </w:rPr>
        <w:t>буџета</w:t>
      </w:r>
      <w:proofErr w:type="spellEnd"/>
      <w:r w:rsidR="00F23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237E0">
        <w:rPr>
          <w:rFonts w:ascii="Times New Roman" w:hAnsi="Times New Roman" w:cs="Times New Roman"/>
          <w:color w:val="000000" w:themeColor="text1"/>
          <w:sz w:val="24"/>
          <w:szCs w:val="24"/>
        </w:rPr>
        <w:t>општине</w:t>
      </w:r>
      <w:proofErr w:type="spellEnd"/>
      <w:r w:rsidR="00F23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237E0">
        <w:rPr>
          <w:rFonts w:ascii="Times New Roman" w:hAnsi="Times New Roman" w:cs="Times New Roman"/>
          <w:color w:val="000000" w:themeColor="text1"/>
          <w:sz w:val="24"/>
          <w:szCs w:val="24"/>
        </w:rPr>
        <w:t>Миница</w:t>
      </w:r>
      <w:proofErr w:type="spellEnd"/>
      <w:r w:rsidR="00F23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237E0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F23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B4261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20</w:t>
      </w:r>
      <w:r w:rsidR="00F237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F237E0">
        <w:rPr>
          <w:rFonts w:ascii="Times New Roman" w:hAnsi="Times New Roman" w:cs="Times New Roman"/>
          <w:color w:val="000000" w:themeColor="text1"/>
          <w:sz w:val="24"/>
          <w:szCs w:val="24"/>
        </w:rPr>
        <w:t>годину</w:t>
      </w:r>
      <w:proofErr w:type="spellEnd"/>
      <w:r w:rsidR="00F23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spellStart"/>
      <w:r w:rsidR="00F237E0">
        <w:rPr>
          <w:rFonts w:ascii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="00F23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потребни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обрасци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корисници</w:t>
      </w:r>
      <w:proofErr w:type="spellEnd"/>
      <w:r w:rsidR="00F23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A5A59">
        <w:rPr>
          <w:rFonts w:ascii="Times New Roman" w:hAnsi="Times New Roman" w:cs="Times New Roman"/>
          <w:color w:val="000000" w:themeColor="text1"/>
          <w:sz w:val="24"/>
          <w:szCs w:val="24"/>
        </w:rPr>
        <w:t>могу</w:t>
      </w:r>
      <w:proofErr w:type="spellEnd"/>
      <w:r w:rsidR="009A5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3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043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преузети на </w:t>
      </w:r>
      <w:r w:rsidR="00460438" w:rsidRPr="00AB495B">
        <w:rPr>
          <w:rFonts w:ascii="Times New Roman" w:hAnsi="Times New Roman" w:cs="Times New Roman"/>
          <w:bCs/>
          <w:color w:val="4F81BD" w:themeColor="accent1"/>
          <w:sz w:val="24"/>
          <w:szCs w:val="24"/>
          <w:u w:val="single"/>
          <w:lang w:val="sr-Cyrl-CS"/>
        </w:rPr>
        <w:t xml:space="preserve">адреси </w:t>
      </w:r>
      <w:hyperlink r:id="rId8" w:history="1">
        <w:r w:rsidR="00AB495B" w:rsidRPr="00AB495B">
          <w:rPr>
            <w:rStyle w:val="Hyperlink"/>
            <w:rFonts w:ascii="Times New Roman" w:hAnsi="Times New Roman" w:cs="Times New Roman"/>
            <w:bCs/>
            <w:color w:val="4F81BD" w:themeColor="accent1"/>
            <w:sz w:val="24"/>
            <w:szCs w:val="24"/>
          </w:rPr>
          <w:t>www.mionica.rs-</w:t>
        </w:r>
        <w:r w:rsidR="00AB495B" w:rsidRPr="00AB495B">
          <w:rPr>
            <w:rStyle w:val="Hyperlink"/>
            <w:rFonts w:ascii="Times New Roman" w:hAnsi="Times New Roman" w:cs="Times New Roman"/>
            <w:bCs/>
            <w:color w:val="4F81BD" w:themeColor="accent1"/>
            <w:sz w:val="24"/>
            <w:szCs w:val="24"/>
            <w:lang w:val="sr-Cyrl-CS"/>
          </w:rPr>
          <w:t>Документа-Буџет</w:t>
        </w:r>
        <w:r w:rsidR="00AB495B" w:rsidRPr="00AB495B">
          <w:rPr>
            <w:rStyle w:val="Hyperlink"/>
            <w:rFonts w:ascii="Times New Roman" w:hAnsi="Times New Roman" w:cs="Times New Roman"/>
            <w:bCs/>
            <w:color w:val="4F81BD" w:themeColor="accent1"/>
            <w:sz w:val="24"/>
            <w:szCs w:val="24"/>
          </w:rPr>
          <w:t>-</w:t>
        </w:r>
        <w:proofErr w:type="spellStart"/>
        <w:r w:rsidR="00AB495B" w:rsidRPr="00AB495B">
          <w:rPr>
            <w:rStyle w:val="Hyperlink"/>
            <w:rFonts w:ascii="Times New Roman" w:hAnsi="Times New Roman" w:cs="Times New Roman"/>
            <w:bCs/>
            <w:color w:val="4F81BD" w:themeColor="accent1"/>
            <w:sz w:val="24"/>
            <w:szCs w:val="24"/>
          </w:rPr>
          <w:t>Буџет</w:t>
        </w:r>
        <w:proofErr w:type="spellEnd"/>
      </w:hyperlink>
      <w:r w:rsidR="00AB495B" w:rsidRPr="00AB495B">
        <w:rPr>
          <w:rFonts w:ascii="Times New Roman" w:hAnsi="Times New Roman" w:cs="Times New Roman"/>
          <w:bCs/>
          <w:color w:val="4F81BD" w:themeColor="accent1"/>
          <w:sz w:val="24"/>
          <w:szCs w:val="24"/>
          <w:u w:val="single"/>
        </w:rPr>
        <w:t xml:space="preserve"> 20</w:t>
      </w:r>
      <w:r w:rsidR="00B42614">
        <w:rPr>
          <w:rFonts w:ascii="Times New Roman" w:hAnsi="Times New Roman" w:cs="Times New Roman"/>
          <w:bCs/>
          <w:color w:val="4F81BD" w:themeColor="accent1"/>
          <w:sz w:val="24"/>
          <w:szCs w:val="24"/>
          <w:u w:val="single"/>
          <w:lang w:val="sr-Cyrl-RS"/>
        </w:rPr>
        <w:t>20</w:t>
      </w:r>
      <w:r w:rsidR="00AB495B" w:rsidRPr="00AB495B">
        <w:rPr>
          <w:rFonts w:ascii="Times New Roman" w:hAnsi="Times New Roman" w:cs="Times New Roman"/>
          <w:bCs/>
          <w:color w:val="4F81BD" w:themeColor="accent1"/>
          <w:sz w:val="24"/>
          <w:szCs w:val="24"/>
          <w:u w:val="single"/>
        </w:rPr>
        <w:t>.</w:t>
      </w:r>
    </w:p>
    <w:p w:rsidR="009A5A59" w:rsidRPr="00F237E0" w:rsidRDefault="009A5A59" w:rsidP="00F237E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1170" w:rsidRDefault="00460438" w:rsidP="00460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Рок за достављање предлога фина</w:t>
      </w:r>
      <w:r w:rsidR="009C563A">
        <w:rPr>
          <w:rFonts w:ascii="Times New Roman" w:hAnsi="Times New Roman" w:cs="Times New Roman"/>
          <w:b/>
          <w:sz w:val="24"/>
          <w:szCs w:val="24"/>
          <w:lang w:val="sr-Cyrl-CS"/>
        </w:rPr>
        <w:t>нсијских планова корисника је 01.09.20</w:t>
      </w:r>
      <w:r w:rsidR="00B42614">
        <w:rPr>
          <w:rFonts w:ascii="Times New Roman" w:hAnsi="Times New Roman" w:cs="Times New Roman"/>
          <w:b/>
          <w:sz w:val="24"/>
          <w:szCs w:val="24"/>
          <w:lang w:val="sr-Cyrl-CS"/>
        </w:rPr>
        <w:t>19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.године</w:t>
      </w:r>
    </w:p>
    <w:p w:rsidR="00460438" w:rsidRDefault="00460438" w:rsidP="00460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60438" w:rsidRDefault="00460438" w:rsidP="00460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42614" w:rsidRDefault="00B42614" w:rsidP="00460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42614" w:rsidRDefault="00B42614" w:rsidP="00460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A1170" w:rsidRDefault="00AA1170" w:rsidP="00B42614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808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</w:t>
      </w:r>
      <w:r w:rsidR="0046043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</w:t>
      </w:r>
      <w:r w:rsidR="00B42614">
        <w:rPr>
          <w:rFonts w:ascii="Times New Roman" w:hAnsi="Times New Roman" w:cs="Times New Roman"/>
          <w:b/>
          <w:sz w:val="24"/>
          <w:szCs w:val="24"/>
          <w:lang w:val="sr-Cyrl-RS"/>
        </w:rPr>
        <w:t>Шеф одсека</w:t>
      </w:r>
    </w:p>
    <w:p w:rsidR="00B42614" w:rsidRPr="00B42614" w:rsidRDefault="00B42614" w:rsidP="00B42614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Јелена Читаковић</w:t>
      </w:r>
    </w:p>
    <w:p w:rsidR="00A162A7" w:rsidRPr="00374601" w:rsidRDefault="00A162A7" w:rsidP="006931CC">
      <w:pPr>
        <w:tabs>
          <w:tab w:val="left" w:pos="625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A162A7" w:rsidRPr="00374601" w:rsidSect="00FB48DF">
      <w:footerReference w:type="default" r:id="rId9"/>
      <w:pgSz w:w="11906" w:h="16838" w:code="9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0B9" w:rsidRDefault="009630B9" w:rsidP="00FB5204">
      <w:r>
        <w:separator/>
      </w:r>
    </w:p>
  </w:endnote>
  <w:endnote w:type="continuationSeparator" w:id="0">
    <w:p w:rsidR="009630B9" w:rsidRDefault="009630B9" w:rsidP="00FB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7287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0E63" w:rsidRDefault="00AA0E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0E63" w:rsidRDefault="00AA0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0B9" w:rsidRDefault="009630B9" w:rsidP="00FB5204">
      <w:r>
        <w:separator/>
      </w:r>
    </w:p>
  </w:footnote>
  <w:footnote w:type="continuationSeparator" w:id="0">
    <w:p w:rsidR="009630B9" w:rsidRDefault="009630B9" w:rsidP="00FB5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88D9608"/>
    <w:multiLevelType w:val="hybridMultilevel"/>
    <w:tmpl w:val="5D15A2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8F9FA"/>
    <w:multiLevelType w:val="hybridMultilevel"/>
    <w:tmpl w:val="587D88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3A1F81"/>
    <w:multiLevelType w:val="hybridMultilevel"/>
    <w:tmpl w:val="032C2B10"/>
    <w:lvl w:ilvl="0" w:tplc="E2C07F3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B57F2"/>
    <w:multiLevelType w:val="hybridMultilevel"/>
    <w:tmpl w:val="3FECC026"/>
    <w:lvl w:ilvl="0" w:tplc="20F81450">
      <w:numFmt w:val="bullet"/>
      <w:lvlText w:val=""/>
      <w:lvlJc w:val="left"/>
      <w:pPr>
        <w:ind w:left="8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BD927D2"/>
    <w:multiLevelType w:val="hybridMultilevel"/>
    <w:tmpl w:val="C512EF2A"/>
    <w:lvl w:ilvl="0" w:tplc="20F81450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1440E78"/>
    <w:multiLevelType w:val="hybridMultilevel"/>
    <w:tmpl w:val="43AC7CBE"/>
    <w:lvl w:ilvl="0" w:tplc="F4F02394">
      <w:start w:val="5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216472"/>
    <w:multiLevelType w:val="hybridMultilevel"/>
    <w:tmpl w:val="F04067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60E479F"/>
    <w:multiLevelType w:val="hybridMultilevel"/>
    <w:tmpl w:val="38D82AB2"/>
    <w:lvl w:ilvl="0" w:tplc="20F81450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0CF6911"/>
    <w:multiLevelType w:val="hybridMultilevel"/>
    <w:tmpl w:val="DC52E1B8"/>
    <w:lvl w:ilvl="0" w:tplc="241A000F">
      <w:start w:val="1"/>
      <w:numFmt w:val="decimal"/>
      <w:lvlText w:val="%1."/>
      <w:lvlJc w:val="left"/>
      <w:pPr>
        <w:ind w:left="1140" w:hanging="360"/>
      </w:p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854504A"/>
    <w:multiLevelType w:val="hybridMultilevel"/>
    <w:tmpl w:val="4C84DB1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558E770">
      <w:numFmt w:val="bullet"/>
      <w:lvlText w:val="-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9EA428B"/>
    <w:multiLevelType w:val="hybridMultilevel"/>
    <w:tmpl w:val="32A0A3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E1D6B"/>
    <w:multiLevelType w:val="hybridMultilevel"/>
    <w:tmpl w:val="81B69A50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335C1B"/>
    <w:multiLevelType w:val="hybridMultilevel"/>
    <w:tmpl w:val="D9CE40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F0575"/>
    <w:multiLevelType w:val="hybridMultilevel"/>
    <w:tmpl w:val="5852D78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B5B14"/>
    <w:multiLevelType w:val="hybridMultilevel"/>
    <w:tmpl w:val="9BB04CEC"/>
    <w:lvl w:ilvl="0" w:tplc="75440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95B1F"/>
    <w:multiLevelType w:val="hybridMultilevel"/>
    <w:tmpl w:val="E5022E9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F51C1C"/>
    <w:multiLevelType w:val="hybridMultilevel"/>
    <w:tmpl w:val="4300B6F6"/>
    <w:lvl w:ilvl="0" w:tplc="20F81450"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46E15831"/>
    <w:multiLevelType w:val="hybridMultilevel"/>
    <w:tmpl w:val="142899FE"/>
    <w:lvl w:ilvl="0" w:tplc="27E2839C">
      <w:start w:val="5"/>
      <w:numFmt w:val="decimal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AB8A35"/>
    <w:multiLevelType w:val="hybridMultilevel"/>
    <w:tmpl w:val="E21CDA16"/>
    <w:lvl w:ilvl="0" w:tplc="241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0772E23"/>
    <w:multiLevelType w:val="hybridMultilevel"/>
    <w:tmpl w:val="5BCE5790"/>
    <w:lvl w:ilvl="0" w:tplc="20F81450">
      <w:numFmt w:val="bullet"/>
      <w:lvlText w:val=""/>
      <w:lvlJc w:val="left"/>
      <w:pPr>
        <w:ind w:left="8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536044CC"/>
    <w:multiLevelType w:val="hybridMultilevel"/>
    <w:tmpl w:val="CD723C08"/>
    <w:lvl w:ilvl="0" w:tplc="9A4AB48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74E5CE6"/>
    <w:multiLevelType w:val="hybridMultilevel"/>
    <w:tmpl w:val="0570E174"/>
    <w:lvl w:ilvl="0" w:tplc="04800E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5233F"/>
    <w:multiLevelType w:val="hybridMultilevel"/>
    <w:tmpl w:val="E3B06A32"/>
    <w:lvl w:ilvl="0" w:tplc="20F81450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7B135B04"/>
    <w:multiLevelType w:val="hybridMultilevel"/>
    <w:tmpl w:val="F5021342"/>
    <w:lvl w:ilvl="0" w:tplc="78FCEA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11"/>
  </w:num>
  <w:num w:numId="5">
    <w:abstractNumId w:val="15"/>
  </w:num>
  <w:num w:numId="6">
    <w:abstractNumId w:val="8"/>
  </w:num>
  <w:num w:numId="7">
    <w:abstractNumId w:val="23"/>
  </w:num>
  <w:num w:numId="8">
    <w:abstractNumId w:val="7"/>
  </w:num>
  <w:num w:numId="9">
    <w:abstractNumId w:val="13"/>
  </w:num>
  <w:num w:numId="10">
    <w:abstractNumId w:val="14"/>
  </w:num>
  <w:num w:numId="11">
    <w:abstractNumId w:val="20"/>
  </w:num>
  <w:num w:numId="12">
    <w:abstractNumId w:val="6"/>
  </w:num>
  <w:num w:numId="13">
    <w:abstractNumId w:val="3"/>
  </w:num>
  <w:num w:numId="14">
    <w:abstractNumId w:val="4"/>
  </w:num>
  <w:num w:numId="15">
    <w:abstractNumId w:val="22"/>
  </w:num>
  <w:num w:numId="16">
    <w:abstractNumId w:val="19"/>
  </w:num>
  <w:num w:numId="17">
    <w:abstractNumId w:val="16"/>
  </w:num>
  <w:num w:numId="18">
    <w:abstractNumId w:val="10"/>
  </w:num>
  <w:num w:numId="19">
    <w:abstractNumId w:val="5"/>
  </w:num>
  <w:num w:numId="20">
    <w:abstractNumId w:val="9"/>
  </w:num>
  <w:num w:numId="21">
    <w:abstractNumId w:val="17"/>
  </w:num>
  <w:num w:numId="22">
    <w:abstractNumId w:val="2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87"/>
    <w:rsid w:val="00002172"/>
    <w:rsid w:val="0000246B"/>
    <w:rsid w:val="000100BF"/>
    <w:rsid w:val="00021475"/>
    <w:rsid w:val="000245EF"/>
    <w:rsid w:val="00026606"/>
    <w:rsid w:val="000268E8"/>
    <w:rsid w:val="00027C2F"/>
    <w:rsid w:val="00034FD1"/>
    <w:rsid w:val="00054A78"/>
    <w:rsid w:val="00055070"/>
    <w:rsid w:val="00064377"/>
    <w:rsid w:val="000665CB"/>
    <w:rsid w:val="00086000"/>
    <w:rsid w:val="000A379F"/>
    <w:rsid w:val="000B4A8D"/>
    <w:rsid w:val="000C6286"/>
    <w:rsid w:val="000D0E71"/>
    <w:rsid w:val="000F42BB"/>
    <w:rsid w:val="001054F6"/>
    <w:rsid w:val="00122C37"/>
    <w:rsid w:val="00130DAD"/>
    <w:rsid w:val="001547C7"/>
    <w:rsid w:val="001607B3"/>
    <w:rsid w:val="0017198F"/>
    <w:rsid w:val="00171A02"/>
    <w:rsid w:val="00175FC4"/>
    <w:rsid w:val="00187FF2"/>
    <w:rsid w:val="00195975"/>
    <w:rsid w:val="001A45B1"/>
    <w:rsid w:val="001C37ED"/>
    <w:rsid w:val="001D3AC9"/>
    <w:rsid w:val="001D707F"/>
    <w:rsid w:val="001E07A7"/>
    <w:rsid w:val="001E772F"/>
    <w:rsid w:val="00205A29"/>
    <w:rsid w:val="00205B07"/>
    <w:rsid w:val="00211908"/>
    <w:rsid w:val="00216BA0"/>
    <w:rsid w:val="00221789"/>
    <w:rsid w:val="00223390"/>
    <w:rsid w:val="00223B84"/>
    <w:rsid w:val="00242156"/>
    <w:rsid w:val="00243057"/>
    <w:rsid w:val="00246225"/>
    <w:rsid w:val="00254AB9"/>
    <w:rsid w:val="00261569"/>
    <w:rsid w:val="00267A34"/>
    <w:rsid w:val="00274387"/>
    <w:rsid w:val="0027464B"/>
    <w:rsid w:val="00275F3E"/>
    <w:rsid w:val="00284BB3"/>
    <w:rsid w:val="002900B1"/>
    <w:rsid w:val="00296D42"/>
    <w:rsid w:val="002972FF"/>
    <w:rsid w:val="00297EB6"/>
    <w:rsid w:val="002A58C7"/>
    <w:rsid w:val="002D08BC"/>
    <w:rsid w:val="002D29D4"/>
    <w:rsid w:val="002D2E49"/>
    <w:rsid w:val="002D79CA"/>
    <w:rsid w:val="00305AF3"/>
    <w:rsid w:val="003078FD"/>
    <w:rsid w:val="00310343"/>
    <w:rsid w:val="003205CD"/>
    <w:rsid w:val="0032700C"/>
    <w:rsid w:val="00340645"/>
    <w:rsid w:val="00355FF0"/>
    <w:rsid w:val="003626D4"/>
    <w:rsid w:val="0036455C"/>
    <w:rsid w:val="003721A3"/>
    <w:rsid w:val="003736DE"/>
    <w:rsid w:val="003737D4"/>
    <w:rsid w:val="00374601"/>
    <w:rsid w:val="00382184"/>
    <w:rsid w:val="00383788"/>
    <w:rsid w:val="003A2FAA"/>
    <w:rsid w:val="003B47F9"/>
    <w:rsid w:val="003B654D"/>
    <w:rsid w:val="003D507A"/>
    <w:rsid w:val="003D55D1"/>
    <w:rsid w:val="003E3BC4"/>
    <w:rsid w:val="003F0A12"/>
    <w:rsid w:val="003F60D2"/>
    <w:rsid w:val="0040516E"/>
    <w:rsid w:val="0041016B"/>
    <w:rsid w:val="00415ED6"/>
    <w:rsid w:val="0043101E"/>
    <w:rsid w:val="004406B6"/>
    <w:rsid w:val="00460438"/>
    <w:rsid w:val="004662D3"/>
    <w:rsid w:val="004739E0"/>
    <w:rsid w:val="0048321A"/>
    <w:rsid w:val="00485C2B"/>
    <w:rsid w:val="00485D9E"/>
    <w:rsid w:val="00487029"/>
    <w:rsid w:val="00495B5D"/>
    <w:rsid w:val="00495C57"/>
    <w:rsid w:val="004A2A8A"/>
    <w:rsid w:val="004B2DB9"/>
    <w:rsid w:val="004B752F"/>
    <w:rsid w:val="004C26FB"/>
    <w:rsid w:val="004E561F"/>
    <w:rsid w:val="00505F22"/>
    <w:rsid w:val="00512365"/>
    <w:rsid w:val="00547F8C"/>
    <w:rsid w:val="00555ABF"/>
    <w:rsid w:val="00555D54"/>
    <w:rsid w:val="00566B07"/>
    <w:rsid w:val="00572246"/>
    <w:rsid w:val="0058278F"/>
    <w:rsid w:val="00596A3D"/>
    <w:rsid w:val="00596C7C"/>
    <w:rsid w:val="005A2A2A"/>
    <w:rsid w:val="005B54BE"/>
    <w:rsid w:val="005B7454"/>
    <w:rsid w:val="005C3B95"/>
    <w:rsid w:val="005D0BD3"/>
    <w:rsid w:val="005E12FC"/>
    <w:rsid w:val="005E5409"/>
    <w:rsid w:val="005F1FFF"/>
    <w:rsid w:val="005F430C"/>
    <w:rsid w:val="006008D2"/>
    <w:rsid w:val="00603B00"/>
    <w:rsid w:val="00612090"/>
    <w:rsid w:val="0061376A"/>
    <w:rsid w:val="00620876"/>
    <w:rsid w:val="00632093"/>
    <w:rsid w:val="00647B2E"/>
    <w:rsid w:val="0065046E"/>
    <w:rsid w:val="00651A92"/>
    <w:rsid w:val="00652573"/>
    <w:rsid w:val="00653F44"/>
    <w:rsid w:val="0065605A"/>
    <w:rsid w:val="00664134"/>
    <w:rsid w:val="00667E29"/>
    <w:rsid w:val="0067192B"/>
    <w:rsid w:val="006768E0"/>
    <w:rsid w:val="0069138C"/>
    <w:rsid w:val="00691D63"/>
    <w:rsid w:val="006931CC"/>
    <w:rsid w:val="006E3DF8"/>
    <w:rsid w:val="006E6C94"/>
    <w:rsid w:val="006F1E78"/>
    <w:rsid w:val="006F28CB"/>
    <w:rsid w:val="006F628E"/>
    <w:rsid w:val="007019B2"/>
    <w:rsid w:val="00710B8D"/>
    <w:rsid w:val="007163E5"/>
    <w:rsid w:val="00725542"/>
    <w:rsid w:val="00747542"/>
    <w:rsid w:val="00753BBD"/>
    <w:rsid w:val="007547E0"/>
    <w:rsid w:val="00755A78"/>
    <w:rsid w:val="00755B90"/>
    <w:rsid w:val="00761270"/>
    <w:rsid w:val="0076292D"/>
    <w:rsid w:val="00762F1D"/>
    <w:rsid w:val="00784D55"/>
    <w:rsid w:val="00792C7A"/>
    <w:rsid w:val="0079397B"/>
    <w:rsid w:val="0079682A"/>
    <w:rsid w:val="007A19C1"/>
    <w:rsid w:val="007A7135"/>
    <w:rsid w:val="007B0B8B"/>
    <w:rsid w:val="007C4AC2"/>
    <w:rsid w:val="007C5D4F"/>
    <w:rsid w:val="007C6947"/>
    <w:rsid w:val="007D0190"/>
    <w:rsid w:val="007D3D91"/>
    <w:rsid w:val="007D6A44"/>
    <w:rsid w:val="007F5204"/>
    <w:rsid w:val="0082596B"/>
    <w:rsid w:val="008548AF"/>
    <w:rsid w:val="00865391"/>
    <w:rsid w:val="008717CB"/>
    <w:rsid w:val="00881522"/>
    <w:rsid w:val="008A1FFC"/>
    <w:rsid w:val="008A33C5"/>
    <w:rsid w:val="008A6C47"/>
    <w:rsid w:val="008B200B"/>
    <w:rsid w:val="008C02FD"/>
    <w:rsid w:val="008D7B77"/>
    <w:rsid w:val="008E437F"/>
    <w:rsid w:val="008F2013"/>
    <w:rsid w:val="008F640C"/>
    <w:rsid w:val="00910D20"/>
    <w:rsid w:val="00916068"/>
    <w:rsid w:val="00922FBF"/>
    <w:rsid w:val="00923688"/>
    <w:rsid w:val="00936BDF"/>
    <w:rsid w:val="00944F0B"/>
    <w:rsid w:val="00950C2F"/>
    <w:rsid w:val="00953362"/>
    <w:rsid w:val="00953641"/>
    <w:rsid w:val="0095650D"/>
    <w:rsid w:val="009630B9"/>
    <w:rsid w:val="00965274"/>
    <w:rsid w:val="009872A3"/>
    <w:rsid w:val="009948D5"/>
    <w:rsid w:val="00997178"/>
    <w:rsid w:val="009A33BB"/>
    <w:rsid w:val="009A370D"/>
    <w:rsid w:val="009A4807"/>
    <w:rsid w:val="009A5A59"/>
    <w:rsid w:val="009B3DDB"/>
    <w:rsid w:val="009C10D4"/>
    <w:rsid w:val="009C563A"/>
    <w:rsid w:val="009D06D1"/>
    <w:rsid w:val="009D5071"/>
    <w:rsid w:val="009D6253"/>
    <w:rsid w:val="009D78F5"/>
    <w:rsid w:val="00A1082E"/>
    <w:rsid w:val="00A13E3C"/>
    <w:rsid w:val="00A162A7"/>
    <w:rsid w:val="00A32929"/>
    <w:rsid w:val="00A33AE4"/>
    <w:rsid w:val="00A34A0E"/>
    <w:rsid w:val="00A378ED"/>
    <w:rsid w:val="00A40843"/>
    <w:rsid w:val="00A41DD9"/>
    <w:rsid w:val="00A46827"/>
    <w:rsid w:val="00A50E57"/>
    <w:rsid w:val="00A5274F"/>
    <w:rsid w:val="00A534AE"/>
    <w:rsid w:val="00A80E58"/>
    <w:rsid w:val="00A8253C"/>
    <w:rsid w:val="00A91855"/>
    <w:rsid w:val="00AA0E63"/>
    <w:rsid w:val="00AA1170"/>
    <w:rsid w:val="00AA1EA0"/>
    <w:rsid w:val="00AA26A5"/>
    <w:rsid w:val="00AA2F49"/>
    <w:rsid w:val="00AB0F92"/>
    <w:rsid w:val="00AB28BB"/>
    <w:rsid w:val="00AB495B"/>
    <w:rsid w:val="00B03F76"/>
    <w:rsid w:val="00B07D87"/>
    <w:rsid w:val="00B11BF9"/>
    <w:rsid w:val="00B17A6D"/>
    <w:rsid w:val="00B2648A"/>
    <w:rsid w:val="00B4067A"/>
    <w:rsid w:val="00B42614"/>
    <w:rsid w:val="00B51392"/>
    <w:rsid w:val="00B759C2"/>
    <w:rsid w:val="00B759CB"/>
    <w:rsid w:val="00B95B38"/>
    <w:rsid w:val="00BA1F2E"/>
    <w:rsid w:val="00BB30AB"/>
    <w:rsid w:val="00BB3614"/>
    <w:rsid w:val="00BC5C43"/>
    <w:rsid w:val="00BD164A"/>
    <w:rsid w:val="00BD60CB"/>
    <w:rsid w:val="00BD6B4B"/>
    <w:rsid w:val="00BE0662"/>
    <w:rsid w:val="00BE631D"/>
    <w:rsid w:val="00C0603B"/>
    <w:rsid w:val="00C209AF"/>
    <w:rsid w:val="00C21D91"/>
    <w:rsid w:val="00C255E2"/>
    <w:rsid w:val="00C31182"/>
    <w:rsid w:val="00C60B25"/>
    <w:rsid w:val="00C61CA2"/>
    <w:rsid w:val="00C63A4D"/>
    <w:rsid w:val="00C80638"/>
    <w:rsid w:val="00C93FB0"/>
    <w:rsid w:val="00C9619D"/>
    <w:rsid w:val="00CA4221"/>
    <w:rsid w:val="00CB4C24"/>
    <w:rsid w:val="00CC2870"/>
    <w:rsid w:val="00CD38F9"/>
    <w:rsid w:val="00CD4B94"/>
    <w:rsid w:val="00CF24DA"/>
    <w:rsid w:val="00D16189"/>
    <w:rsid w:val="00D24FA5"/>
    <w:rsid w:val="00D2564A"/>
    <w:rsid w:val="00D419D1"/>
    <w:rsid w:val="00D43DFE"/>
    <w:rsid w:val="00D5349E"/>
    <w:rsid w:val="00D567EE"/>
    <w:rsid w:val="00D61D67"/>
    <w:rsid w:val="00D62EB7"/>
    <w:rsid w:val="00D64F6B"/>
    <w:rsid w:val="00D8299D"/>
    <w:rsid w:val="00D83A39"/>
    <w:rsid w:val="00D85A5F"/>
    <w:rsid w:val="00D921E6"/>
    <w:rsid w:val="00D933FB"/>
    <w:rsid w:val="00DB3705"/>
    <w:rsid w:val="00DB6E8B"/>
    <w:rsid w:val="00DC401E"/>
    <w:rsid w:val="00DC42FA"/>
    <w:rsid w:val="00DC4FFF"/>
    <w:rsid w:val="00DE35A2"/>
    <w:rsid w:val="00E119F6"/>
    <w:rsid w:val="00E27C75"/>
    <w:rsid w:val="00E3232E"/>
    <w:rsid w:val="00E37A7C"/>
    <w:rsid w:val="00E40267"/>
    <w:rsid w:val="00E4135E"/>
    <w:rsid w:val="00E43624"/>
    <w:rsid w:val="00E514BE"/>
    <w:rsid w:val="00E51800"/>
    <w:rsid w:val="00E557BB"/>
    <w:rsid w:val="00E57111"/>
    <w:rsid w:val="00E6261B"/>
    <w:rsid w:val="00E663F1"/>
    <w:rsid w:val="00E66C75"/>
    <w:rsid w:val="00E9184F"/>
    <w:rsid w:val="00E91C67"/>
    <w:rsid w:val="00E924B1"/>
    <w:rsid w:val="00EA69FA"/>
    <w:rsid w:val="00EB7D03"/>
    <w:rsid w:val="00EB7FFE"/>
    <w:rsid w:val="00EC4722"/>
    <w:rsid w:val="00EF1F1E"/>
    <w:rsid w:val="00F04E91"/>
    <w:rsid w:val="00F05CCC"/>
    <w:rsid w:val="00F2149C"/>
    <w:rsid w:val="00F237E0"/>
    <w:rsid w:val="00F248F3"/>
    <w:rsid w:val="00F454BF"/>
    <w:rsid w:val="00F61513"/>
    <w:rsid w:val="00F63966"/>
    <w:rsid w:val="00F77909"/>
    <w:rsid w:val="00F8180B"/>
    <w:rsid w:val="00F91943"/>
    <w:rsid w:val="00F974F2"/>
    <w:rsid w:val="00FA4399"/>
    <w:rsid w:val="00FA6B43"/>
    <w:rsid w:val="00FB48DF"/>
    <w:rsid w:val="00FB5204"/>
    <w:rsid w:val="00FB7274"/>
    <w:rsid w:val="00FE1E4C"/>
    <w:rsid w:val="00FE3A35"/>
    <w:rsid w:val="00FF1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D0A3"/>
  <w15:docId w15:val="{4F32BACD-0A74-4D0E-A16F-5C2D5CCB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E71"/>
  </w:style>
  <w:style w:type="paragraph" w:styleId="Heading4">
    <w:name w:val="heading 4"/>
    <w:basedOn w:val="Normal"/>
    <w:link w:val="Heading4Char"/>
    <w:uiPriority w:val="9"/>
    <w:qFormat/>
    <w:rsid w:val="006931C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01E"/>
    <w:pPr>
      <w:ind w:left="720"/>
      <w:contextualSpacing/>
    </w:pPr>
  </w:style>
  <w:style w:type="table" w:styleId="TableGrid">
    <w:name w:val="Table Grid"/>
    <w:basedOn w:val="TableNormal"/>
    <w:uiPriority w:val="59"/>
    <w:rsid w:val="00E11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52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204"/>
  </w:style>
  <w:style w:type="paragraph" w:styleId="Footer">
    <w:name w:val="footer"/>
    <w:basedOn w:val="Normal"/>
    <w:link w:val="FooterChar"/>
    <w:uiPriority w:val="99"/>
    <w:unhideWhenUsed/>
    <w:rsid w:val="00FB52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204"/>
  </w:style>
  <w:style w:type="paragraph" w:styleId="BalloonText">
    <w:name w:val="Balloon Text"/>
    <w:basedOn w:val="Normal"/>
    <w:link w:val="BalloonTextChar"/>
    <w:uiPriority w:val="99"/>
    <w:semiHidden/>
    <w:unhideWhenUsed/>
    <w:rsid w:val="00026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0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931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01">
    <w:name w:val="fontstyle01"/>
    <w:basedOn w:val="DefaultParagraphFont"/>
    <w:rsid w:val="0031034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7A6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9682A"/>
  </w:style>
  <w:style w:type="paragraph" w:customStyle="1" w:styleId="Default">
    <w:name w:val="Default"/>
    <w:rsid w:val="00555AB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nica.rs-&#1044;&#1086;&#1082;&#1091;&#1084;&#1077;&#1085;&#1090;&#1072;-&#1041;&#1091;&#1119;&#1077;&#1090;-&#1041;&#1091;&#1119;&#1077;&#10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7086D-5801-465B-A68E-DE94ACAC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2977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Jelena Citakovic</cp:lastModifiedBy>
  <cp:revision>5</cp:revision>
  <cp:lastPrinted>2018-07-30T13:25:00Z</cp:lastPrinted>
  <dcterms:created xsi:type="dcterms:W3CDTF">2019-07-18T10:44:00Z</dcterms:created>
  <dcterms:modified xsi:type="dcterms:W3CDTF">2019-07-31T09:31:00Z</dcterms:modified>
</cp:coreProperties>
</file>